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2D2DA2" w14:textId="77777777" w:rsidR="00D30B3D" w:rsidRDefault="007C327C" w:rsidP="007C327C">
      <w:pPr>
        <w:pStyle w:val="Heading2"/>
        <w:spacing w:before="0"/>
        <w:rPr>
          <w:rFonts w:asciiTheme="minorHAnsi" w:eastAsiaTheme="minorHAnsi" w:hAnsiTheme="minorHAnsi" w:cstheme="minorBidi"/>
          <w:b/>
          <w:color w:val="0070C0"/>
          <w:sz w:val="32"/>
          <w:szCs w:val="32"/>
        </w:rPr>
      </w:pPr>
      <w:r w:rsidRPr="007C327C">
        <w:rPr>
          <w:rFonts w:asciiTheme="minorHAnsi" w:eastAsiaTheme="minorHAnsi" w:hAnsiTheme="minorHAnsi" w:cstheme="minorBidi"/>
          <w:b/>
          <w:color w:val="0070C0"/>
          <w:sz w:val="32"/>
          <w:szCs w:val="32"/>
        </w:rPr>
        <w:t>Percent of Residents Who Have/Had a Catheter Inse</w:t>
      </w:r>
      <w:r>
        <w:rPr>
          <w:rFonts w:asciiTheme="minorHAnsi" w:eastAsiaTheme="minorHAnsi" w:hAnsiTheme="minorHAnsi" w:cstheme="minorBidi"/>
          <w:b/>
          <w:color w:val="0070C0"/>
          <w:sz w:val="32"/>
          <w:szCs w:val="32"/>
        </w:rPr>
        <w:t xml:space="preserve">rted and Left in Their Bladder </w:t>
      </w:r>
      <w:r w:rsidRPr="007C327C">
        <w:rPr>
          <w:rFonts w:asciiTheme="minorHAnsi" w:eastAsiaTheme="minorHAnsi" w:hAnsiTheme="minorHAnsi" w:cstheme="minorBidi"/>
          <w:b/>
          <w:color w:val="0070C0"/>
          <w:sz w:val="32"/>
          <w:szCs w:val="32"/>
        </w:rPr>
        <w:t>(Long Stay)</w:t>
      </w:r>
    </w:p>
    <w:p w14:paraId="633C7DCF" w14:textId="77777777" w:rsidR="007C327C" w:rsidRDefault="007C327C" w:rsidP="007C327C">
      <w:pPr>
        <w:pStyle w:val="Heading2"/>
        <w:spacing w:before="0"/>
        <w:rPr>
          <w:rFonts w:asciiTheme="minorHAnsi" w:eastAsiaTheme="minorHAnsi" w:hAnsiTheme="minorHAnsi" w:cstheme="minorBidi"/>
          <w:noProof/>
          <w:color w:val="auto"/>
          <w:sz w:val="22"/>
          <w:szCs w:val="22"/>
        </w:rPr>
      </w:pPr>
    </w:p>
    <w:p w14:paraId="22B365DD" w14:textId="77777777" w:rsidR="007C57F5" w:rsidRDefault="007C327C" w:rsidP="007C327C">
      <w:pPr>
        <w:pStyle w:val="Heading2"/>
        <w:spacing w:before="0"/>
        <w:rPr>
          <w:b/>
          <w:noProof/>
          <w:color w:val="0070C0"/>
        </w:rPr>
      </w:pPr>
      <w:r w:rsidRPr="007C327C">
        <w:rPr>
          <w:rFonts w:asciiTheme="minorHAnsi" w:eastAsiaTheme="minorHAnsi" w:hAnsiTheme="minorHAnsi" w:cstheme="minorBidi"/>
          <w:noProof/>
          <w:color w:val="auto"/>
          <w:sz w:val="22"/>
          <w:szCs w:val="22"/>
        </w:rPr>
        <w:t xml:space="preserve">This measure reports the percentage of residents who have had an indwelling catheter in the last 7 days. </w:t>
      </w:r>
    </w:p>
    <w:p w14:paraId="575785D5" w14:textId="77777777" w:rsidR="004A333C" w:rsidRPr="00DC3716" w:rsidRDefault="004A333C" w:rsidP="00DC3716"/>
    <w:p w14:paraId="53B61F35" w14:textId="77777777" w:rsidR="004E0BF0" w:rsidRPr="00E24432" w:rsidRDefault="005C0F83" w:rsidP="004E0BF0">
      <w:pPr>
        <w:pStyle w:val="Heading2"/>
        <w:rPr>
          <w:b/>
          <w:noProof/>
          <w:color w:val="0070C0"/>
        </w:rPr>
      </w:pPr>
      <w:r w:rsidRPr="00E24432">
        <w:rPr>
          <w:b/>
          <w:noProof/>
          <w:color w:val="0070C0"/>
        </w:rPr>
        <w:t>Key Points!</w:t>
      </w:r>
    </w:p>
    <w:p w14:paraId="0CD82480" w14:textId="77777777" w:rsidR="008773DD" w:rsidRPr="008773DD" w:rsidRDefault="00D30B3D" w:rsidP="008773DD">
      <w:pPr>
        <w:pStyle w:val="ListParagraph"/>
        <w:numPr>
          <w:ilvl w:val="0"/>
          <w:numId w:val="3"/>
        </w:numPr>
        <w:rPr>
          <w:noProof/>
        </w:rPr>
      </w:pPr>
      <w:r>
        <w:rPr>
          <w:noProof/>
        </w:rPr>
        <w:t xml:space="preserve">For </w:t>
      </w:r>
      <w:r w:rsidR="007C327C">
        <w:rPr>
          <w:noProof/>
        </w:rPr>
        <w:t>this measure</w:t>
      </w:r>
      <w:r w:rsidR="00FC04D8">
        <w:rPr>
          <w:noProof/>
        </w:rPr>
        <w:t>,</w:t>
      </w:r>
      <w:r>
        <w:rPr>
          <w:noProof/>
        </w:rPr>
        <w:t xml:space="preserve"> </w:t>
      </w:r>
      <w:r w:rsidR="008773DD">
        <w:rPr>
          <w:noProof/>
        </w:rPr>
        <w:t>o</w:t>
      </w:r>
      <w:r w:rsidR="008773DD" w:rsidRPr="008773DD">
        <w:rPr>
          <w:noProof/>
        </w:rPr>
        <w:t xml:space="preserve">nly the Target Assessment is used. The </w:t>
      </w:r>
      <w:r w:rsidR="008773DD" w:rsidRPr="008773DD">
        <w:rPr>
          <w:b/>
          <w:i/>
          <w:noProof/>
        </w:rPr>
        <w:t>Target Assessment</w:t>
      </w:r>
      <w:r w:rsidR="008773DD" w:rsidRPr="008773DD">
        <w:rPr>
          <w:noProof/>
        </w:rPr>
        <w:t xml:space="preserve"> is the most recent assessment in the target period (i.e. a calendar quarter).</w:t>
      </w:r>
    </w:p>
    <w:p w14:paraId="7951EEB1" w14:textId="77777777" w:rsidR="005C0F83" w:rsidRPr="00E24432" w:rsidRDefault="002B2464" w:rsidP="007C57F5">
      <w:pPr>
        <w:rPr>
          <w:noProof/>
          <w:color w:val="0070C0"/>
        </w:rPr>
      </w:pPr>
      <w:r>
        <w:rPr>
          <w:b/>
          <w:noProof/>
          <w:color w:val="0070C0"/>
        </w:rPr>
        <w:t>What MDS Item</w:t>
      </w:r>
      <w:r w:rsidR="005C0F83" w:rsidRPr="00E24432">
        <w:rPr>
          <w:b/>
          <w:noProof/>
          <w:color w:val="0070C0"/>
        </w:rPr>
        <w:t xml:space="preserve"> Trigger</w:t>
      </w:r>
      <w:r>
        <w:rPr>
          <w:b/>
          <w:noProof/>
          <w:color w:val="0070C0"/>
        </w:rPr>
        <w:t>s</w:t>
      </w:r>
      <w:r w:rsidR="005C0F83" w:rsidRPr="00E24432">
        <w:rPr>
          <w:b/>
          <w:noProof/>
          <w:color w:val="0070C0"/>
        </w:rPr>
        <w:t xml:space="preserve"> the </w:t>
      </w:r>
      <w:r w:rsidR="008773DD">
        <w:rPr>
          <w:b/>
          <w:noProof/>
          <w:color w:val="0070C0"/>
          <w:u w:val="single"/>
        </w:rPr>
        <w:t>Long-</w:t>
      </w:r>
      <w:r w:rsidR="00A14572" w:rsidRPr="00E24432">
        <w:rPr>
          <w:b/>
          <w:noProof/>
          <w:color w:val="0070C0"/>
          <w:u w:val="single"/>
        </w:rPr>
        <w:t>Stay</w:t>
      </w:r>
      <w:r w:rsidR="00A14572" w:rsidRPr="00E24432">
        <w:rPr>
          <w:b/>
          <w:noProof/>
          <w:color w:val="0070C0"/>
        </w:rPr>
        <w:t xml:space="preserve"> </w:t>
      </w:r>
      <w:r w:rsidR="007C327C">
        <w:rPr>
          <w:b/>
          <w:noProof/>
          <w:color w:val="0070C0"/>
        </w:rPr>
        <w:t>Catheter</w:t>
      </w:r>
      <w:r w:rsidR="00A14572" w:rsidRPr="00E24432">
        <w:rPr>
          <w:b/>
          <w:noProof/>
          <w:color w:val="0070C0"/>
        </w:rPr>
        <w:t xml:space="preserve"> Measure</w:t>
      </w:r>
      <w:r w:rsidR="005C0F83" w:rsidRPr="00E24432">
        <w:rPr>
          <w:b/>
          <w:noProof/>
          <w:color w:val="0070C0"/>
        </w:rPr>
        <w:t>?</w:t>
      </w:r>
    </w:p>
    <w:p w14:paraId="573F039F" w14:textId="77777777" w:rsidR="007C327C" w:rsidRDefault="008773DD" w:rsidP="007C327C">
      <w:pPr>
        <w:pStyle w:val="ListParagraph"/>
        <w:numPr>
          <w:ilvl w:val="0"/>
          <w:numId w:val="7"/>
        </w:numPr>
        <w:rPr>
          <w:noProof/>
        </w:rPr>
      </w:pPr>
      <w:r w:rsidRPr="008773DD">
        <w:rPr>
          <w:noProof/>
        </w:rPr>
        <w:t xml:space="preserve">Long-stay residents </w:t>
      </w:r>
      <w:r w:rsidR="0088139C">
        <w:rPr>
          <w:noProof/>
        </w:rPr>
        <w:t>will trigger this QM</w:t>
      </w:r>
      <w:r w:rsidR="00FC04D8">
        <w:rPr>
          <w:noProof/>
        </w:rPr>
        <w:t xml:space="preserve"> when their </w:t>
      </w:r>
      <w:r w:rsidRPr="008773DD">
        <w:rPr>
          <w:b/>
          <w:i/>
          <w:noProof/>
        </w:rPr>
        <w:t>target assessment</w:t>
      </w:r>
      <w:r w:rsidRPr="008773DD">
        <w:rPr>
          <w:noProof/>
        </w:rPr>
        <w:t xml:space="preserve"> </w:t>
      </w:r>
      <w:r w:rsidR="007C327C" w:rsidRPr="007C327C">
        <w:rPr>
          <w:noProof/>
        </w:rPr>
        <w:t xml:space="preserve">indicates the use of </w:t>
      </w:r>
      <w:r w:rsidR="0035788A">
        <w:rPr>
          <w:noProof/>
        </w:rPr>
        <w:t xml:space="preserve">an </w:t>
      </w:r>
      <w:r w:rsidR="007C327C" w:rsidRPr="007C327C">
        <w:rPr>
          <w:noProof/>
        </w:rPr>
        <w:t>indwelling ca</w:t>
      </w:r>
      <w:r w:rsidR="0035788A">
        <w:rPr>
          <w:noProof/>
        </w:rPr>
        <w:t>theter</w:t>
      </w:r>
    </w:p>
    <w:p w14:paraId="277AC667" w14:textId="77777777" w:rsidR="007C327C" w:rsidRDefault="007C327C" w:rsidP="007C327C">
      <w:pPr>
        <w:pStyle w:val="ListParagraph"/>
        <w:numPr>
          <w:ilvl w:val="1"/>
          <w:numId w:val="7"/>
        </w:numPr>
        <w:rPr>
          <w:noProof/>
        </w:rPr>
      </w:pPr>
      <w:r>
        <w:rPr>
          <w:noProof/>
        </w:rPr>
        <w:t>H0100A = [1]</w:t>
      </w:r>
    </w:p>
    <w:p w14:paraId="2C1A1684" w14:textId="77777777" w:rsidR="007C327C" w:rsidRDefault="007C327C" w:rsidP="007C327C">
      <w:pPr>
        <w:ind w:left="360"/>
        <w:rPr>
          <w:noProof/>
        </w:rPr>
      </w:pPr>
      <w:r>
        <w:rPr>
          <w:noProof/>
        </w:rPr>
        <w:t xml:space="preserve">                     </w:t>
      </w:r>
      <w:r>
        <w:rPr>
          <w:noProof/>
        </w:rPr>
        <w:drawing>
          <wp:inline distT="0" distB="0" distL="0" distR="0" wp14:anchorId="58409BBB" wp14:editId="41A3354B">
            <wp:extent cx="4848225" cy="17526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48225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A75555" w14:textId="77777777" w:rsidR="006B683B" w:rsidRDefault="00816C6B" w:rsidP="005C0F83">
      <w:pPr>
        <w:rPr>
          <w:b/>
          <w:noProof/>
          <w:color w:val="0070C0"/>
          <w:sz w:val="26"/>
          <w:szCs w:val="26"/>
        </w:rPr>
      </w:pPr>
      <w:r>
        <w:rPr>
          <w:b/>
          <w:noProof/>
          <w:color w:val="0070C0"/>
          <w:sz w:val="26"/>
          <w:szCs w:val="26"/>
        </w:rPr>
        <w:t>This measure has</w:t>
      </w:r>
      <w:r w:rsidR="00E24432" w:rsidRPr="00E24432">
        <w:rPr>
          <w:b/>
          <w:noProof/>
          <w:color w:val="0070C0"/>
          <w:sz w:val="26"/>
          <w:szCs w:val="26"/>
        </w:rPr>
        <w:t xml:space="preserve"> some EXCLUSIONS!!</w:t>
      </w:r>
    </w:p>
    <w:p w14:paraId="2C815EFE" w14:textId="77777777" w:rsidR="001330FC" w:rsidRPr="001330FC" w:rsidRDefault="001330FC" w:rsidP="005C0F83">
      <w:pPr>
        <w:rPr>
          <w:noProof/>
        </w:rPr>
      </w:pPr>
      <w:r>
        <w:rPr>
          <w:noProof/>
        </w:rPr>
        <w:t xml:space="preserve">If the </w:t>
      </w:r>
      <w:r w:rsidRPr="001330FC">
        <w:rPr>
          <w:b/>
          <w:i/>
          <w:noProof/>
        </w:rPr>
        <w:t>target assessment</w:t>
      </w:r>
      <w:r w:rsidRPr="001330FC">
        <w:rPr>
          <w:noProof/>
        </w:rPr>
        <w:t xml:space="preserve"> is an admission assessment (A0310A = [01]</w:t>
      </w:r>
      <w:r>
        <w:rPr>
          <w:noProof/>
        </w:rPr>
        <w:t>) or a PPS 5-day (A0310B = [01]), it is excluded and will not trigger this QM.</w:t>
      </w:r>
      <w:r w:rsidRPr="001330FC">
        <w:rPr>
          <w:noProof/>
        </w:rPr>
        <w:t xml:space="preserve"> </w:t>
      </w:r>
    </w:p>
    <w:p w14:paraId="7A260A31" w14:textId="77777777" w:rsidR="00E24432" w:rsidRDefault="00E24432" w:rsidP="005C0F83">
      <w:pPr>
        <w:rPr>
          <w:noProof/>
        </w:rPr>
      </w:pPr>
      <w:r>
        <w:rPr>
          <w:noProof/>
        </w:rPr>
        <w:t xml:space="preserve">Even if a </w:t>
      </w:r>
      <w:r w:rsidR="008773DD">
        <w:rPr>
          <w:noProof/>
        </w:rPr>
        <w:t>lon</w:t>
      </w:r>
      <w:r w:rsidR="00816C6B">
        <w:rPr>
          <w:noProof/>
        </w:rPr>
        <w:t>g</w:t>
      </w:r>
      <w:r w:rsidR="008773DD">
        <w:rPr>
          <w:noProof/>
        </w:rPr>
        <w:t xml:space="preserve">-stay </w:t>
      </w:r>
      <w:r w:rsidR="001330FC">
        <w:rPr>
          <w:noProof/>
        </w:rPr>
        <w:t>resident</w:t>
      </w:r>
      <w:r>
        <w:rPr>
          <w:noProof/>
        </w:rPr>
        <w:t xml:space="preserve"> </w:t>
      </w:r>
      <w:r w:rsidR="001330FC">
        <w:rPr>
          <w:noProof/>
        </w:rPr>
        <w:t>had a</w:t>
      </w:r>
      <w:r w:rsidR="005F7A02">
        <w:rPr>
          <w:noProof/>
        </w:rPr>
        <w:t>n indwelling</w:t>
      </w:r>
      <w:r w:rsidR="001330FC">
        <w:rPr>
          <w:noProof/>
        </w:rPr>
        <w:t xml:space="preserve"> catheter </w:t>
      </w:r>
      <w:r w:rsidR="005F7A02">
        <w:rPr>
          <w:noProof/>
        </w:rPr>
        <w:t>during</w:t>
      </w:r>
      <w:r w:rsidR="001330FC">
        <w:rPr>
          <w:noProof/>
        </w:rPr>
        <w:t xml:space="preserve"> the 7 day observation period</w:t>
      </w:r>
      <w:r>
        <w:rPr>
          <w:noProof/>
        </w:rPr>
        <w:t>, they w</w:t>
      </w:r>
      <w:r w:rsidR="001330FC">
        <w:rPr>
          <w:noProof/>
        </w:rPr>
        <w:t>ill not trigger the measure if either</w:t>
      </w:r>
      <w:r w:rsidRPr="00E24432">
        <w:rPr>
          <w:noProof/>
        </w:rPr>
        <w:t xml:space="preserve"> of the following related conditions are present</w:t>
      </w:r>
      <w:r w:rsidR="0088139C">
        <w:rPr>
          <w:noProof/>
        </w:rPr>
        <w:t xml:space="preserve"> on the MDS</w:t>
      </w:r>
      <w:r w:rsidR="00816C6B">
        <w:rPr>
          <w:noProof/>
        </w:rPr>
        <w:t>:</w:t>
      </w:r>
      <w:r w:rsidRPr="00E24432">
        <w:rPr>
          <w:noProof/>
        </w:rPr>
        <w:t xml:space="preserve"> </w:t>
      </w:r>
    </w:p>
    <w:p w14:paraId="2061E46D" w14:textId="77777777" w:rsidR="001330FC" w:rsidRDefault="001330FC" w:rsidP="003F5FC5">
      <w:pPr>
        <w:pStyle w:val="ListParagraph"/>
        <w:numPr>
          <w:ilvl w:val="0"/>
          <w:numId w:val="8"/>
        </w:numPr>
        <w:rPr>
          <w:noProof/>
        </w:rPr>
      </w:pPr>
      <w:r w:rsidRPr="001330FC">
        <w:rPr>
          <w:noProof/>
        </w:rPr>
        <w:t>Target assessment indicates neu</w:t>
      </w:r>
      <w:r>
        <w:rPr>
          <w:noProof/>
        </w:rPr>
        <w:t xml:space="preserve">rogenic bladder (I1550 = [1]) </w:t>
      </w:r>
      <w:r w:rsidRPr="001330FC">
        <w:rPr>
          <w:noProof/>
        </w:rPr>
        <w:t xml:space="preserve"> </w:t>
      </w:r>
    </w:p>
    <w:p w14:paraId="6684EF5B" w14:textId="77777777" w:rsidR="00E24432" w:rsidRPr="00E24432" w:rsidRDefault="001330FC" w:rsidP="001330FC">
      <w:pPr>
        <w:pStyle w:val="ListParagraph"/>
        <w:numPr>
          <w:ilvl w:val="0"/>
          <w:numId w:val="8"/>
        </w:numPr>
        <w:rPr>
          <w:noProof/>
        </w:rPr>
      </w:pPr>
      <w:r w:rsidRPr="001330FC">
        <w:rPr>
          <w:noProof/>
        </w:rPr>
        <w:t xml:space="preserve">Target assessment indicates obstructive uropathy (I1650 = [1]) </w:t>
      </w:r>
    </w:p>
    <w:p w14:paraId="14DF5406" w14:textId="77777777" w:rsidR="00E24432" w:rsidRDefault="004C036B" w:rsidP="005C0F83">
      <w:pPr>
        <w:rPr>
          <w:b/>
          <w:noProof/>
          <w:color w:val="0070C0"/>
          <w:sz w:val="26"/>
          <w:szCs w:val="26"/>
        </w:rPr>
      </w:pPr>
      <w:r>
        <w:rPr>
          <w:b/>
          <w:noProof/>
          <w:color w:val="0070C0"/>
          <w:sz w:val="26"/>
          <w:szCs w:val="26"/>
        </w:rPr>
        <w:t xml:space="preserve">               </w:t>
      </w:r>
      <w:r w:rsidR="00C8465A">
        <w:rPr>
          <w:b/>
          <w:noProof/>
          <w:color w:val="0070C0"/>
          <w:sz w:val="26"/>
          <w:szCs w:val="26"/>
        </w:rPr>
        <w:t xml:space="preserve"> </w:t>
      </w:r>
      <w:r>
        <w:rPr>
          <w:b/>
          <w:noProof/>
          <w:color w:val="0070C0"/>
          <w:sz w:val="26"/>
          <w:szCs w:val="26"/>
        </w:rPr>
        <w:t xml:space="preserve">  </w:t>
      </w:r>
      <w:r>
        <w:rPr>
          <w:noProof/>
        </w:rPr>
        <w:drawing>
          <wp:inline distT="0" distB="0" distL="0" distR="0" wp14:anchorId="2D405F5B" wp14:editId="1996E91F">
            <wp:extent cx="5200650" cy="12573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0065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951CAB" w14:textId="77777777" w:rsidR="0074188F" w:rsidRDefault="0074188F" w:rsidP="005C0F83">
      <w:pPr>
        <w:rPr>
          <w:b/>
          <w:noProof/>
          <w:color w:val="0070C0"/>
          <w:sz w:val="26"/>
          <w:szCs w:val="26"/>
        </w:rPr>
        <w:sectPr w:rsidR="0074188F" w:rsidSect="008773DD">
          <w:headerReference w:type="default" r:id="rId9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2E1D672" w14:textId="77777777" w:rsidR="00AC4A6E" w:rsidRDefault="00A9272C" w:rsidP="005C0F83">
      <w:pPr>
        <w:rPr>
          <w:b/>
          <w:noProof/>
          <w:color w:val="0070C0"/>
          <w:sz w:val="26"/>
          <w:szCs w:val="26"/>
        </w:rPr>
      </w:pPr>
      <w:r>
        <w:rPr>
          <w:b/>
          <w:noProof/>
          <w:color w:val="0070C0"/>
          <w:sz w:val="26"/>
          <w:szCs w:val="26"/>
        </w:rPr>
        <w:lastRenderedPageBreak/>
        <w:t xml:space="preserve">This measure </w:t>
      </w:r>
      <w:r w:rsidR="00C472DB">
        <w:rPr>
          <w:b/>
          <w:noProof/>
          <w:color w:val="0070C0"/>
          <w:sz w:val="26"/>
          <w:szCs w:val="26"/>
        </w:rPr>
        <w:t>may also be risk adjusted!!</w:t>
      </w:r>
    </w:p>
    <w:p w14:paraId="0CECB63F" w14:textId="77777777" w:rsidR="006C46FA" w:rsidRDefault="006C46FA" w:rsidP="006C46F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Covariates a</w:t>
      </w:r>
      <w:r w:rsidRPr="006C46FA">
        <w:rPr>
          <w:rFonts w:cstheme="minorHAnsi"/>
        </w:rPr>
        <w:t xml:space="preserve">djust for individual resident characteristics or health conditions that are essentially out of the facility’s </w:t>
      </w:r>
      <w:r w:rsidR="00EC1D3F" w:rsidRPr="006C46FA">
        <w:rPr>
          <w:rFonts w:cstheme="minorHAnsi"/>
        </w:rPr>
        <w:t>control</w:t>
      </w:r>
      <w:r w:rsidR="00EC1D3F">
        <w:rPr>
          <w:rFonts w:cstheme="minorHAnsi"/>
        </w:rPr>
        <w:t xml:space="preserve"> that</w:t>
      </w:r>
      <w:r w:rsidRPr="006C46FA">
        <w:rPr>
          <w:rFonts w:cstheme="minorHAnsi"/>
        </w:rPr>
        <w:t xml:space="preserve"> may contribute to worse outcomes for a particular QM</w:t>
      </w:r>
      <w:r>
        <w:rPr>
          <w:rFonts w:cstheme="minorHAnsi"/>
        </w:rPr>
        <w:t>.</w:t>
      </w:r>
    </w:p>
    <w:p w14:paraId="701858C3" w14:textId="77777777" w:rsidR="006C46FA" w:rsidRPr="006C46FA" w:rsidRDefault="006C46FA" w:rsidP="006C46F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11234C9" w14:textId="77777777" w:rsidR="00C472DB" w:rsidRPr="00C472DB" w:rsidRDefault="00C472DB" w:rsidP="00C472DB">
      <w:pPr>
        <w:rPr>
          <w:noProof/>
        </w:rPr>
      </w:pPr>
      <w:r>
        <w:rPr>
          <w:noProof/>
        </w:rPr>
        <w:t>Two coviariates are applied to this measure, which include residents with:</w:t>
      </w:r>
    </w:p>
    <w:p w14:paraId="627FFE46" w14:textId="77777777" w:rsidR="00C472DB" w:rsidRDefault="00C472DB" w:rsidP="00C472DB">
      <w:pPr>
        <w:pStyle w:val="ListParagraph"/>
        <w:numPr>
          <w:ilvl w:val="0"/>
          <w:numId w:val="9"/>
        </w:numPr>
        <w:rPr>
          <w:noProof/>
        </w:rPr>
      </w:pPr>
      <w:r>
        <w:rPr>
          <w:noProof/>
        </w:rPr>
        <w:t>F</w:t>
      </w:r>
      <w:r w:rsidRPr="00C472DB">
        <w:rPr>
          <w:noProof/>
        </w:rPr>
        <w:t>requent bowel incontinence on prior assessment (H0400 = [2,</w:t>
      </w:r>
      <w:r>
        <w:rPr>
          <w:noProof/>
        </w:rPr>
        <w:t xml:space="preserve"> 3]), and/or</w:t>
      </w:r>
    </w:p>
    <w:p w14:paraId="634ABBFD" w14:textId="77777777" w:rsidR="00C472DB" w:rsidRDefault="00C472DB" w:rsidP="00C472DB">
      <w:pPr>
        <w:pStyle w:val="ListParagraph"/>
        <w:numPr>
          <w:ilvl w:val="0"/>
          <w:numId w:val="9"/>
        </w:numPr>
        <w:rPr>
          <w:noProof/>
        </w:rPr>
      </w:pPr>
      <w:r w:rsidRPr="00C472DB">
        <w:rPr>
          <w:noProof/>
        </w:rPr>
        <w:t>Pressure ulcers at stages II, III, or IV on prior assessment: (M0300B1</w:t>
      </w:r>
      <w:r>
        <w:rPr>
          <w:noProof/>
        </w:rPr>
        <w:t>, M0300C1, and/or M0300D1</w:t>
      </w:r>
      <w:r w:rsidRPr="00C472DB">
        <w:rPr>
          <w:noProof/>
        </w:rPr>
        <w:t xml:space="preserve"> = [1, 2, 3, 4, 5, 6, 7, 8, </w:t>
      </w:r>
      <w:r>
        <w:rPr>
          <w:noProof/>
        </w:rPr>
        <w:t>9]).</w:t>
      </w:r>
    </w:p>
    <w:p w14:paraId="451ABCB7" w14:textId="77777777" w:rsidR="00C472DB" w:rsidRDefault="00297AF3" w:rsidP="00C472DB">
      <w:pPr>
        <w:rPr>
          <w:noProof/>
        </w:rPr>
      </w:pPr>
      <w:r>
        <w:rPr>
          <w:noProof/>
        </w:rPr>
        <w:t>On the CASPER Facility Level QM report, th</w:t>
      </w:r>
      <w:r w:rsidR="00C472DB">
        <w:rPr>
          <w:noProof/>
        </w:rPr>
        <w:t xml:space="preserve">e </w:t>
      </w:r>
      <w:r w:rsidR="00DC77FC" w:rsidRPr="00297AF3">
        <w:rPr>
          <w:b/>
          <w:noProof/>
        </w:rPr>
        <w:t>Facility Adjusted Percent</w:t>
      </w:r>
      <w:r w:rsidR="00DC77FC">
        <w:rPr>
          <w:noProof/>
        </w:rPr>
        <w:t xml:space="preserve"> is the final calculation after covariate factors have been applied. This risk adjusted percentage is used to determine points for the Five Star</w:t>
      </w:r>
      <w:r w:rsidR="00EC1D3F">
        <w:rPr>
          <w:noProof/>
        </w:rPr>
        <w:t xml:space="preserve"> QM</w:t>
      </w:r>
      <w:r w:rsidR="00DC77FC">
        <w:rPr>
          <w:noProof/>
        </w:rPr>
        <w:t xml:space="preserve"> Rating.</w:t>
      </w:r>
    </w:p>
    <w:p w14:paraId="2DC69039" w14:textId="77777777" w:rsidR="00DC77FC" w:rsidRPr="00C472DB" w:rsidRDefault="00DC77FC" w:rsidP="00C472DB">
      <w:pPr>
        <w:rPr>
          <w:noProof/>
        </w:rPr>
      </w:pPr>
      <w:r>
        <w:rPr>
          <w:noProof/>
        </w:rPr>
        <w:drawing>
          <wp:inline distT="0" distB="0" distL="0" distR="0" wp14:anchorId="4D7A138B" wp14:editId="5F4C87B2">
            <wp:extent cx="6858000" cy="36385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638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97A915" w14:textId="77777777" w:rsidR="005765AE" w:rsidRDefault="005765AE" w:rsidP="005C0F83">
      <w:pPr>
        <w:rPr>
          <w:b/>
          <w:noProof/>
          <w:color w:val="0070C0"/>
          <w:sz w:val="26"/>
          <w:szCs w:val="26"/>
        </w:rPr>
      </w:pPr>
      <w:r>
        <w:rPr>
          <w:b/>
          <w:noProof/>
          <w:color w:val="0070C0"/>
          <w:sz w:val="26"/>
          <w:szCs w:val="26"/>
        </w:rPr>
        <w:t>Tips for Success</w:t>
      </w:r>
      <w:r w:rsidRPr="005765AE">
        <w:rPr>
          <w:b/>
          <w:noProof/>
          <w:color w:val="0070C0"/>
          <w:sz w:val="26"/>
          <w:szCs w:val="26"/>
        </w:rPr>
        <w:t>!</w:t>
      </w:r>
    </w:p>
    <w:p w14:paraId="163E6452" w14:textId="77777777" w:rsidR="00C63BDC" w:rsidRPr="002C4CC7" w:rsidRDefault="00EC1D3F" w:rsidP="006E284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noProof/>
        </w:rPr>
      </w:pPr>
      <w:r>
        <w:rPr>
          <w:rFonts w:cstheme="minorHAnsi"/>
        </w:rPr>
        <w:t>This is a Long S</w:t>
      </w:r>
      <w:r w:rsidR="00C63BDC" w:rsidRPr="00C63BDC">
        <w:rPr>
          <w:rFonts w:cstheme="minorHAnsi"/>
        </w:rPr>
        <w:t xml:space="preserve">tay measure, so </w:t>
      </w:r>
      <w:r w:rsidR="00C63BDC" w:rsidRPr="00C63BDC">
        <w:rPr>
          <w:rFonts w:cstheme="minorHAnsi"/>
          <w:b/>
        </w:rPr>
        <w:t>new</w:t>
      </w:r>
      <w:r w:rsidR="00C63BDC" w:rsidRPr="00C63BDC">
        <w:rPr>
          <w:rFonts w:cstheme="minorHAnsi"/>
        </w:rPr>
        <w:t xml:space="preserve"> residents admitted with a catheter will not trigger this measure until they have been in the facility for &gt;100 days.</w:t>
      </w:r>
      <w:r>
        <w:rPr>
          <w:rFonts w:cstheme="minorHAnsi"/>
        </w:rPr>
        <w:t xml:space="preserve"> Work with the resident’s</w:t>
      </w:r>
      <w:r w:rsidR="00C63BDC" w:rsidRPr="00C63BDC">
        <w:rPr>
          <w:rFonts w:cstheme="minorHAnsi"/>
        </w:rPr>
        <w:t xml:space="preserve"> provider</w:t>
      </w:r>
      <w:r>
        <w:rPr>
          <w:rFonts w:cstheme="minorHAnsi"/>
        </w:rPr>
        <w:t>, early in the stay,</w:t>
      </w:r>
      <w:r w:rsidR="00C63BDC" w:rsidRPr="00C63BDC">
        <w:rPr>
          <w:rFonts w:cstheme="minorHAnsi"/>
        </w:rPr>
        <w:t xml:space="preserve"> to determine if the catheter is necessary or if you can attempt to remove it. If the attempt fails, consult a specialist for further interventions or proper exclusionary diagnoses. </w:t>
      </w:r>
    </w:p>
    <w:p w14:paraId="729B6185" w14:textId="77777777" w:rsidR="00565F9C" w:rsidRDefault="00565F9C" w:rsidP="00565F9C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65F9C">
        <w:rPr>
          <w:rFonts w:cstheme="minorHAnsi"/>
        </w:rPr>
        <w:t xml:space="preserve">Review all residents with catheters who have a </w:t>
      </w:r>
      <w:r w:rsidR="00C63BDC">
        <w:rPr>
          <w:rFonts w:cstheme="minorHAnsi"/>
        </w:rPr>
        <w:t>neurological condition</w:t>
      </w:r>
      <w:r>
        <w:rPr>
          <w:rFonts w:cstheme="minorHAnsi"/>
        </w:rPr>
        <w:t xml:space="preserve"> (i.e. Multiple Sclerosis), </w:t>
      </w:r>
      <w:r w:rsidRPr="00565F9C">
        <w:rPr>
          <w:rFonts w:cstheme="minorHAnsi"/>
        </w:rPr>
        <w:t>cerebrovascular</w:t>
      </w:r>
      <w:r>
        <w:rPr>
          <w:rFonts w:cstheme="minorHAnsi"/>
        </w:rPr>
        <w:t xml:space="preserve"> disease, </w:t>
      </w:r>
      <w:r w:rsidRPr="00565F9C">
        <w:rPr>
          <w:rFonts w:cstheme="minorHAnsi"/>
        </w:rPr>
        <w:t>or spinal cord injury</w:t>
      </w:r>
      <w:r>
        <w:rPr>
          <w:rFonts w:cstheme="minorHAnsi"/>
        </w:rPr>
        <w:t>.</w:t>
      </w:r>
    </w:p>
    <w:p w14:paraId="4DF93350" w14:textId="77777777" w:rsidR="00565F9C" w:rsidRDefault="00565F9C" w:rsidP="00565F9C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Ask</w:t>
      </w:r>
      <w:r w:rsidR="00C63BDC">
        <w:rPr>
          <w:rFonts w:cstheme="minorHAnsi"/>
        </w:rPr>
        <w:t xml:space="preserve"> the resident</w:t>
      </w:r>
      <w:r w:rsidR="00EC1D3F">
        <w:rPr>
          <w:rFonts w:cstheme="minorHAnsi"/>
        </w:rPr>
        <w:t>’</w:t>
      </w:r>
      <w:r w:rsidR="00C63BDC">
        <w:rPr>
          <w:rFonts w:cstheme="minorHAnsi"/>
        </w:rPr>
        <w:t xml:space="preserve">s provider if </w:t>
      </w:r>
      <w:r w:rsidRPr="00C63BDC">
        <w:rPr>
          <w:rFonts w:cstheme="minorHAnsi"/>
          <w:i/>
          <w:u w:val="single"/>
        </w:rPr>
        <w:t>Neurogenic Bladder</w:t>
      </w:r>
      <w:r>
        <w:rPr>
          <w:rFonts w:cstheme="minorHAnsi"/>
        </w:rPr>
        <w:t xml:space="preserve"> should be added to the resident’s diagnosis list.</w:t>
      </w:r>
      <w:r w:rsidRPr="00565F9C">
        <w:rPr>
          <w:rFonts w:cstheme="minorHAnsi"/>
        </w:rPr>
        <w:t xml:space="preserve"> </w:t>
      </w:r>
    </w:p>
    <w:p w14:paraId="6C32519C" w14:textId="77777777" w:rsidR="00565F9C" w:rsidRDefault="00565F9C" w:rsidP="00565F9C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65F9C">
        <w:rPr>
          <w:rFonts w:cstheme="minorHAnsi"/>
        </w:rPr>
        <w:t>Review all residents with BPH or Prostate Ca</w:t>
      </w:r>
      <w:r w:rsidR="00C63BDC">
        <w:rPr>
          <w:rFonts w:cstheme="minorHAnsi"/>
        </w:rPr>
        <w:t>ncer.</w:t>
      </w:r>
    </w:p>
    <w:p w14:paraId="6171CDCC" w14:textId="77777777" w:rsidR="00565F9C" w:rsidRPr="00565F9C" w:rsidRDefault="00565F9C" w:rsidP="00565F9C">
      <w:pPr>
        <w:pStyle w:val="ListParagraph"/>
        <w:numPr>
          <w:ilvl w:val="1"/>
          <w:numId w:val="11"/>
        </w:numPr>
        <w:rPr>
          <w:rFonts w:cstheme="minorHAnsi"/>
        </w:rPr>
      </w:pPr>
      <w:r>
        <w:rPr>
          <w:rFonts w:cstheme="minorHAnsi"/>
        </w:rPr>
        <w:t>Ask</w:t>
      </w:r>
      <w:r w:rsidR="00C63BDC">
        <w:rPr>
          <w:rFonts w:cstheme="minorHAnsi"/>
        </w:rPr>
        <w:t xml:space="preserve"> the resident’s</w:t>
      </w:r>
      <w:r>
        <w:rPr>
          <w:rFonts w:cstheme="minorHAnsi"/>
        </w:rPr>
        <w:t xml:space="preserve"> provider if </w:t>
      </w:r>
      <w:r w:rsidRPr="00C63BDC">
        <w:rPr>
          <w:rFonts w:cstheme="minorHAnsi"/>
          <w:i/>
          <w:u w:val="single"/>
        </w:rPr>
        <w:t>Obstructive Uropathy</w:t>
      </w:r>
      <w:r w:rsidRPr="00565F9C">
        <w:rPr>
          <w:rFonts w:cstheme="minorHAnsi"/>
        </w:rPr>
        <w:t xml:space="preserve"> should be added to the resident’s diagnosis list. </w:t>
      </w:r>
    </w:p>
    <w:p w14:paraId="65F0FC53" w14:textId="77777777" w:rsidR="00565F9C" w:rsidRPr="00C63BDC" w:rsidRDefault="003359D8" w:rsidP="00565F9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T1BCt00" w:hAnsi="TT1BCt00" w:cs="TT1BCt00"/>
        </w:rPr>
      </w:pPr>
      <w:r w:rsidRPr="00C472DB">
        <w:rPr>
          <w:rFonts w:cstheme="minorHAnsi"/>
        </w:rPr>
        <w:t xml:space="preserve">Identify residents on your Resident Level QM report who are triggering. If their </w:t>
      </w:r>
      <w:r w:rsidR="00565F9C">
        <w:rPr>
          <w:rFonts w:cstheme="minorHAnsi"/>
        </w:rPr>
        <w:t>catheter</w:t>
      </w:r>
      <w:r w:rsidRPr="00C472DB">
        <w:rPr>
          <w:rFonts w:cstheme="minorHAnsi"/>
        </w:rPr>
        <w:t xml:space="preserve"> has been discontinued since their last MDS</w:t>
      </w:r>
      <w:r w:rsidR="00C63BDC">
        <w:rPr>
          <w:rFonts w:cstheme="minorHAnsi"/>
        </w:rPr>
        <w:t xml:space="preserve"> or a new exclusionary diagnosis has been added to their list of conditions</w:t>
      </w:r>
      <w:r w:rsidRPr="00C472DB">
        <w:rPr>
          <w:rFonts w:cstheme="minorHAnsi"/>
        </w:rPr>
        <w:t xml:space="preserve">, consider completing a new MDS (a new </w:t>
      </w:r>
      <w:r w:rsidRPr="00C472DB">
        <w:rPr>
          <w:rFonts w:cstheme="minorHAnsi"/>
          <w:b/>
          <w:i/>
        </w:rPr>
        <w:t>Target Assessment</w:t>
      </w:r>
      <w:r w:rsidR="00C63BDC">
        <w:rPr>
          <w:rFonts w:cstheme="minorHAnsi"/>
        </w:rPr>
        <w:t>).</w:t>
      </w:r>
    </w:p>
    <w:p w14:paraId="6CF4B258" w14:textId="77777777" w:rsidR="007775C6" w:rsidRDefault="007775C6" w:rsidP="007775C6">
      <w:pPr>
        <w:rPr>
          <w:rFonts w:ascii="TT1BCt00" w:hAnsi="TT1BCt00" w:cs="TT1BCt00"/>
        </w:rPr>
      </w:pPr>
      <w:bookmarkStart w:id="1" w:name="_GoBack"/>
      <w:bookmarkEnd w:id="1"/>
    </w:p>
    <w:p w14:paraId="026ADA2D" w14:textId="77777777" w:rsidR="0046379F" w:rsidRPr="0046379F" w:rsidRDefault="0046379F" w:rsidP="0046379F">
      <w:pPr>
        <w:rPr>
          <w:b/>
          <w:noProof/>
        </w:rPr>
      </w:pPr>
    </w:p>
    <w:sectPr w:rsidR="0046379F" w:rsidRPr="0046379F" w:rsidSect="008773DD">
      <w:head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A75E44" w14:textId="77777777" w:rsidR="00E20576" w:rsidRDefault="00E20576" w:rsidP="0074188F">
      <w:pPr>
        <w:spacing w:after="0" w:line="240" w:lineRule="auto"/>
      </w:pPr>
      <w:r>
        <w:separator/>
      </w:r>
    </w:p>
  </w:endnote>
  <w:endnote w:type="continuationSeparator" w:id="0">
    <w:p w14:paraId="0915D2CF" w14:textId="77777777" w:rsidR="00E20576" w:rsidRDefault="00E20576" w:rsidP="007418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T1BC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F0380E" w14:textId="77777777" w:rsidR="00E20576" w:rsidRDefault="00E20576" w:rsidP="0074188F">
      <w:pPr>
        <w:spacing w:after="0" w:line="240" w:lineRule="auto"/>
      </w:pPr>
      <w:r>
        <w:separator/>
      </w:r>
    </w:p>
  </w:footnote>
  <w:footnote w:type="continuationSeparator" w:id="0">
    <w:p w14:paraId="21D49F67" w14:textId="77777777" w:rsidR="00E20576" w:rsidRDefault="00E20576" w:rsidP="007418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E074EC" w14:textId="77777777" w:rsidR="0074188F" w:rsidRDefault="0074188F" w:rsidP="0074188F">
    <w:pPr>
      <w:pStyle w:val="NoSpacing"/>
      <w:rPr>
        <w:b/>
        <w:color w:val="0070C0"/>
        <w:sz w:val="24"/>
        <w:szCs w:val="24"/>
      </w:rPr>
    </w:pPr>
    <w:bookmarkStart w:id="0" w:name="_Hlk2349987"/>
    <w:r w:rsidRPr="006C550E">
      <w:rPr>
        <w:b/>
        <w:noProof/>
        <w:color w:val="0070C0"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650E0D5" wp14:editId="77CE245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2258089" cy="563526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58089" cy="563526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7DB842" w14:textId="77777777" w:rsidR="0074188F" w:rsidRPr="00FF0909" w:rsidRDefault="0074188F" w:rsidP="0074188F">
                          <w:pPr>
                            <w:spacing w:after="0"/>
                            <w:jc w:val="right"/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</w:pPr>
                          <w:r w:rsidRPr="00FF0909"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  <w:t>Squared Business Solutions, LLC</w:t>
                          </w:r>
                        </w:p>
                        <w:p w14:paraId="43127479" w14:textId="77777777" w:rsidR="0074188F" w:rsidRPr="00FF0909" w:rsidRDefault="0074188F" w:rsidP="0074188F">
                          <w:pPr>
                            <w:spacing w:after="0"/>
                            <w:jc w:val="right"/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  <w:t>info@squaredbusinesssolutions.com</w:t>
                          </w:r>
                        </w:p>
                        <w:p w14:paraId="360B1E26" w14:textId="77777777" w:rsidR="0074188F" w:rsidRPr="00FF0909" w:rsidRDefault="0074188F" w:rsidP="0074188F">
                          <w:pPr>
                            <w:spacing w:after="0"/>
                            <w:jc w:val="right"/>
                            <w:rPr>
                              <w:b/>
                              <w:color w:val="0070C0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  <w:t>Phone: (</w:t>
                          </w:r>
                          <w:r w:rsidRPr="00FF0909"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  <w:t>614</w:t>
                          </w:r>
                          <w:r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  <w:t xml:space="preserve">) </w:t>
                          </w:r>
                          <w:r w:rsidRPr="00FF0909"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  <w:t>448</w:t>
                          </w:r>
                          <w:r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  <w:t>-</w:t>
                          </w:r>
                          <w:r w:rsidRPr="00FF0909"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  <w:t>1822</w:t>
                          </w:r>
                        </w:p>
                        <w:p w14:paraId="639069A0" w14:textId="77777777" w:rsidR="0074188F" w:rsidRDefault="0074188F" w:rsidP="0074188F">
                          <w:pPr>
                            <w:spacing w:after="0"/>
                          </w:pPr>
                        </w:p>
                        <w:p w14:paraId="36310674" w14:textId="77777777" w:rsidR="0074188F" w:rsidRDefault="0074188F" w:rsidP="0074188F">
                          <w:pPr>
                            <w:spacing w:after="0"/>
                          </w:pPr>
                        </w:p>
                        <w:p w14:paraId="11D15620" w14:textId="77777777" w:rsidR="0074188F" w:rsidRDefault="0074188F" w:rsidP="0074188F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50E0D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26.6pt;margin-top:0;width:177.8pt;height:44.3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o2cDQIAAPQDAAAOAAAAZHJzL2Uyb0RvYy54bWysU21v2yAQ/j5p/wHxfbHjxmlixam6dp0m&#10;dS9Sux9AMI7RgGNAYme/fgdOU2v7No0PCLi75+557tjcDFqRo3BegqnpfJZTIgyHRpp9Tb8/P7xb&#10;UeIDMw1TYERNT8LTm+3bN5veVqKADlQjHEEQ46ve1rQLwVZZ5nknNPMzsMKgsQWnWcCr22eNYz2i&#10;a5UVeb7MenCNdcCF9/h6PxrpNuG3reDha9t6EYiqKdYW0u7Svot7tt2wau+Y7SQ/l8H+oQrNpMGk&#10;F6h7Fhg5OPkXlJbcgYc2zDjoDNpWcpE4IJt5/gebp45ZkbigON5eZPL/D5Z/OX5zRDY1vcqvKTFM&#10;Y5OexRDIexhIEfXpra/Q7cmiYxjwGfucuHr7CPyHJwbuOmb24tY56DvBGqxvHiOzSeiI4yPIrv8M&#10;DaZhhwAJaGidjuKhHATRsU+nS29iKRwfi6Jc5as1JRxt5fKqLJYpBateoq3z4aMATeKhpg57n9DZ&#10;8dGHWA2rXlxiMgMPUqnUf2VIX9N1WZQpYGLRMuB4KqlrusrjGgcmkvxgmhQcmFTjGRMoc2YdiY6U&#10;w7Ab0DFKsYPmhPwdjGOI3wYPHbhflPQ4gjX1Pw/MCUrUJ4MarueLRZzZdFmU1wVe3NSym1qY4QhV&#10;00DJeLwLac5HrreodSuTDK+VnGvF0UrqnL9BnN3pPXm9ftbtbwAAAP//AwBQSwMEFAAGAAgAAAAh&#10;AEUryyHaAAAABAEAAA8AAABkcnMvZG93bnJldi54bWxMj0tPwzAQhO9I/AdrkbhRm0dKCNlUCMQV&#10;1PKQuLnxNomI11HsNuHfs3CBy0qjGc18W65m36sDjbELjHC+MKCI6+A6bhBeXx7PclAxWXa2D0wI&#10;XxRhVR0flbZwYeI1HTapUVLCsbAIbUpDoXWsW/I2LsJALN4ujN4mkWOj3WgnKfe9vjBmqb3tWBZa&#10;O9B9S/XnZu8R3p52H+9X5rl58Nkwhdlo9jca8fRkvrsFlWhOf2H4wRd0qIRpG/bsouoR5JH0e8W7&#10;zLIlqC1Cnl+Drkr9H776BgAA//8DAFBLAQItABQABgAIAAAAIQC2gziS/gAAAOEBAAATAAAAAAAA&#10;AAAAAAAAAAAAAABbQ29udGVudF9UeXBlc10ueG1sUEsBAi0AFAAGAAgAAAAhADj9If/WAAAAlAEA&#10;AAsAAAAAAAAAAAAAAAAALwEAAF9yZWxzLy5yZWxzUEsBAi0AFAAGAAgAAAAhANL+jZwNAgAA9AMA&#10;AA4AAAAAAAAAAAAAAAAALgIAAGRycy9lMm9Eb2MueG1sUEsBAi0AFAAGAAgAAAAhAEUryyHaAAAA&#10;BAEAAA8AAAAAAAAAAAAAAAAAZwQAAGRycy9kb3ducmV2LnhtbFBLBQYAAAAABAAEAPMAAABuBQAA&#10;AAA=&#10;" filled="f" stroked="f">
              <v:textbox>
                <w:txbxContent>
                  <w:p w14:paraId="057DB842" w14:textId="77777777" w:rsidR="0074188F" w:rsidRPr="00FF0909" w:rsidRDefault="0074188F" w:rsidP="0074188F">
                    <w:pPr>
                      <w:spacing w:after="0"/>
                      <w:jc w:val="right"/>
                      <w:rPr>
                        <w:b/>
                        <w:color w:val="0070C0"/>
                        <w:sz w:val="20"/>
                        <w:szCs w:val="20"/>
                      </w:rPr>
                    </w:pPr>
                    <w:r w:rsidRPr="00FF0909">
                      <w:rPr>
                        <w:b/>
                        <w:color w:val="0070C0"/>
                        <w:sz w:val="20"/>
                        <w:szCs w:val="20"/>
                      </w:rPr>
                      <w:t>Squared Business Solutions, LLC</w:t>
                    </w:r>
                  </w:p>
                  <w:p w14:paraId="43127479" w14:textId="77777777" w:rsidR="0074188F" w:rsidRPr="00FF0909" w:rsidRDefault="0074188F" w:rsidP="0074188F">
                    <w:pPr>
                      <w:spacing w:after="0"/>
                      <w:jc w:val="right"/>
                      <w:rPr>
                        <w:b/>
                        <w:color w:val="0070C0"/>
                        <w:sz w:val="20"/>
                        <w:szCs w:val="20"/>
                      </w:rPr>
                    </w:pPr>
                    <w:r>
                      <w:rPr>
                        <w:b/>
                        <w:color w:val="0070C0"/>
                        <w:sz w:val="20"/>
                        <w:szCs w:val="20"/>
                      </w:rPr>
                      <w:t>info@squaredbusinesssolutions.com</w:t>
                    </w:r>
                  </w:p>
                  <w:p w14:paraId="360B1E26" w14:textId="77777777" w:rsidR="0074188F" w:rsidRPr="00FF0909" w:rsidRDefault="0074188F" w:rsidP="0074188F">
                    <w:pPr>
                      <w:spacing w:after="0"/>
                      <w:jc w:val="right"/>
                      <w:rPr>
                        <w:b/>
                        <w:color w:val="0070C0"/>
                      </w:rPr>
                    </w:pPr>
                    <w:r>
                      <w:rPr>
                        <w:b/>
                        <w:color w:val="0070C0"/>
                        <w:sz w:val="20"/>
                        <w:szCs w:val="20"/>
                      </w:rPr>
                      <w:t>Phone: (</w:t>
                    </w:r>
                    <w:r w:rsidRPr="00FF0909">
                      <w:rPr>
                        <w:b/>
                        <w:color w:val="0070C0"/>
                        <w:sz w:val="20"/>
                        <w:szCs w:val="20"/>
                      </w:rPr>
                      <w:t>614</w:t>
                    </w:r>
                    <w:r>
                      <w:rPr>
                        <w:b/>
                        <w:color w:val="0070C0"/>
                        <w:sz w:val="20"/>
                        <w:szCs w:val="20"/>
                      </w:rPr>
                      <w:t xml:space="preserve">) </w:t>
                    </w:r>
                    <w:r w:rsidRPr="00FF0909">
                      <w:rPr>
                        <w:b/>
                        <w:color w:val="0070C0"/>
                        <w:sz w:val="20"/>
                        <w:szCs w:val="20"/>
                      </w:rPr>
                      <w:t>448</w:t>
                    </w:r>
                    <w:r>
                      <w:rPr>
                        <w:b/>
                        <w:color w:val="0070C0"/>
                        <w:sz w:val="20"/>
                        <w:szCs w:val="20"/>
                      </w:rPr>
                      <w:t>-</w:t>
                    </w:r>
                    <w:r w:rsidRPr="00FF0909">
                      <w:rPr>
                        <w:b/>
                        <w:color w:val="0070C0"/>
                        <w:sz w:val="20"/>
                        <w:szCs w:val="20"/>
                      </w:rPr>
                      <w:t>1822</w:t>
                    </w:r>
                  </w:p>
                  <w:p w14:paraId="639069A0" w14:textId="77777777" w:rsidR="0074188F" w:rsidRDefault="0074188F" w:rsidP="0074188F">
                    <w:pPr>
                      <w:spacing w:after="0"/>
                    </w:pPr>
                  </w:p>
                  <w:p w14:paraId="36310674" w14:textId="77777777" w:rsidR="0074188F" w:rsidRDefault="0074188F" w:rsidP="0074188F">
                    <w:pPr>
                      <w:spacing w:after="0"/>
                    </w:pPr>
                  </w:p>
                  <w:p w14:paraId="11D15620" w14:textId="77777777" w:rsidR="0074188F" w:rsidRDefault="0074188F" w:rsidP="0074188F"/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inline distT="0" distB="0" distL="0" distR="0" wp14:anchorId="3A542891" wp14:editId="49A5274E">
          <wp:extent cx="790575" cy="886821"/>
          <wp:effectExtent l="0" t="0" r="0" b="889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2027" cy="8996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color w:val="0070C0"/>
        <w:sz w:val="24"/>
        <w:szCs w:val="24"/>
      </w:rPr>
      <w:tab/>
    </w:r>
    <w:r>
      <w:rPr>
        <w:b/>
        <w:color w:val="0070C0"/>
        <w:sz w:val="24"/>
        <w:szCs w:val="24"/>
      </w:rPr>
      <w:tab/>
    </w:r>
    <w:r>
      <w:rPr>
        <w:b/>
        <w:color w:val="0070C0"/>
        <w:sz w:val="24"/>
        <w:szCs w:val="24"/>
      </w:rPr>
      <w:tab/>
    </w:r>
    <w:r>
      <w:rPr>
        <w:b/>
        <w:color w:val="0070C0"/>
        <w:sz w:val="24"/>
        <w:szCs w:val="24"/>
      </w:rPr>
      <w:tab/>
    </w:r>
    <w:r>
      <w:rPr>
        <w:b/>
        <w:color w:val="0070C0"/>
        <w:sz w:val="24"/>
        <w:szCs w:val="24"/>
      </w:rPr>
      <w:tab/>
    </w:r>
    <w:r>
      <w:rPr>
        <w:b/>
        <w:color w:val="0070C0"/>
        <w:sz w:val="24"/>
        <w:szCs w:val="24"/>
      </w:rPr>
      <w:tab/>
    </w:r>
    <w:r>
      <w:rPr>
        <w:b/>
        <w:color w:val="0070C0"/>
        <w:sz w:val="24"/>
        <w:szCs w:val="24"/>
      </w:rPr>
      <w:tab/>
    </w:r>
    <w:r>
      <w:rPr>
        <w:b/>
        <w:color w:val="0070C0"/>
        <w:sz w:val="24"/>
        <w:szCs w:val="24"/>
      </w:rPr>
      <w:tab/>
    </w:r>
  </w:p>
  <w:p w14:paraId="7DF25FC4" w14:textId="77777777" w:rsidR="0074188F" w:rsidRPr="00B232E5" w:rsidRDefault="0074188F" w:rsidP="0074188F">
    <w:pPr>
      <w:pStyle w:val="NoSpacing"/>
      <w:rPr>
        <w:rFonts w:ascii="Candara" w:hAnsi="Candara"/>
        <w:noProof/>
      </w:rPr>
    </w:pPr>
    <w:r w:rsidRPr="00B232E5">
      <w:rPr>
        <w:rFonts w:ascii="Candara" w:hAnsi="Candara"/>
        <w:b/>
        <w:color w:val="0070C0"/>
      </w:rPr>
      <w:t xml:space="preserve">             PURPOSE</w:t>
    </w:r>
    <w:r w:rsidRPr="00B232E5">
      <w:rPr>
        <w:rFonts w:ascii="Candara" w:hAnsi="Candara"/>
        <w:b/>
        <w:color w:val="00B050"/>
      </w:rPr>
      <w:t xml:space="preserve">. </w:t>
    </w:r>
    <w:r w:rsidRPr="00B232E5">
      <w:rPr>
        <w:rFonts w:ascii="Candara" w:hAnsi="Candara"/>
        <w:b/>
        <w:color w:val="54EB31"/>
      </w:rPr>
      <w:t>INSPIRED</w:t>
    </w:r>
    <w:r w:rsidRPr="00B232E5">
      <w:rPr>
        <w:rFonts w:ascii="Candara" w:hAnsi="Candara"/>
        <w:b/>
        <w:color w:val="10FC48"/>
      </w:rPr>
      <w:t>.</w:t>
    </w:r>
    <w:r w:rsidRPr="00B232E5">
      <w:rPr>
        <w:rFonts w:ascii="Candara" w:hAnsi="Candara"/>
        <w:b/>
        <w:color w:val="000000"/>
      </w:rPr>
      <w:t xml:space="preserve"> </w:t>
    </w:r>
    <w:r w:rsidRPr="00B232E5">
      <w:rPr>
        <w:rFonts w:ascii="Candara" w:hAnsi="Candara"/>
        <w:b/>
        <w:color w:val="0070C0"/>
      </w:rPr>
      <w:t>RESULTS.</w:t>
    </w:r>
    <w:r w:rsidRPr="00B232E5">
      <w:rPr>
        <w:rFonts w:ascii="Candara" w:hAnsi="Candara"/>
        <w:noProof/>
      </w:rPr>
      <w:t xml:space="preserve">              </w:t>
    </w:r>
  </w:p>
  <w:bookmarkEnd w:id="0"/>
  <w:p w14:paraId="122F40A2" w14:textId="77777777" w:rsidR="0074188F" w:rsidRDefault="007418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CE45C0" w14:textId="77777777" w:rsidR="0074188F" w:rsidRDefault="007418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14622"/>
    <w:multiLevelType w:val="hybridMultilevel"/>
    <w:tmpl w:val="903A6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B44B17"/>
    <w:multiLevelType w:val="hybridMultilevel"/>
    <w:tmpl w:val="2DCC5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6D6D87"/>
    <w:multiLevelType w:val="hybridMultilevel"/>
    <w:tmpl w:val="D92AD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0241D2"/>
    <w:multiLevelType w:val="hybridMultilevel"/>
    <w:tmpl w:val="8D74F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D51895"/>
    <w:multiLevelType w:val="hybridMultilevel"/>
    <w:tmpl w:val="C932341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A803D9"/>
    <w:multiLevelType w:val="hybridMultilevel"/>
    <w:tmpl w:val="74A2D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2B5CF3"/>
    <w:multiLevelType w:val="hybridMultilevel"/>
    <w:tmpl w:val="35821A8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3B17A8"/>
    <w:multiLevelType w:val="hybridMultilevel"/>
    <w:tmpl w:val="9BF81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A305F8"/>
    <w:multiLevelType w:val="hybridMultilevel"/>
    <w:tmpl w:val="4F501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081C5B"/>
    <w:multiLevelType w:val="hybridMultilevel"/>
    <w:tmpl w:val="194A9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AF1A6D"/>
    <w:multiLevelType w:val="hybridMultilevel"/>
    <w:tmpl w:val="0D6A0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377FC9"/>
    <w:multiLevelType w:val="hybridMultilevel"/>
    <w:tmpl w:val="169EF70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C44A3C"/>
    <w:multiLevelType w:val="hybridMultilevel"/>
    <w:tmpl w:val="57A49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9"/>
  </w:num>
  <w:num w:numId="4">
    <w:abstractNumId w:val="12"/>
  </w:num>
  <w:num w:numId="5">
    <w:abstractNumId w:val="1"/>
  </w:num>
  <w:num w:numId="6">
    <w:abstractNumId w:val="4"/>
  </w:num>
  <w:num w:numId="7">
    <w:abstractNumId w:val="8"/>
  </w:num>
  <w:num w:numId="8">
    <w:abstractNumId w:val="0"/>
  </w:num>
  <w:num w:numId="9">
    <w:abstractNumId w:val="7"/>
  </w:num>
  <w:num w:numId="10">
    <w:abstractNumId w:val="2"/>
  </w:num>
  <w:num w:numId="11">
    <w:abstractNumId w:val="3"/>
  </w:num>
  <w:num w:numId="12">
    <w:abstractNumId w:val="1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088"/>
    <w:rsid w:val="00042F34"/>
    <w:rsid w:val="000551D9"/>
    <w:rsid w:val="00076553"/>
    <w:rsid w:val="000E4964"/>
    <w:rsid w:val="001330FC"/>
    <w:rsid w:val="00142A7E"/>
    <w:rsid w:val="001751E0"/>
    <w:rsid w:val="00180FA2"/>
    <w:rsid w:val="001D5FAB"/>
    <w:rsid w:val="001E65C7"/>
    <w:rsid w:val="002220C6"/>
    <w:rsid w:val="0025105D"/>
    <w:rsid w:val="002666EF"/>
    <w:rsid w:val="00297AF3"/>
    <w:rsid w:val="002B2464"/>
    <w:rsid w:val="002C4CC7"/>
    <w:rsid w:val="003359D8"/>
    <w:rsid w:val="0035788A"/>
    <w:rsid w:val="0036599E"/>
    <w:rsid w:val="00371CE0"/>
    <w:rsid w:val="00375600"/>
    <w:rsid w:val="003E1088"/>
    <w:rsid w:val="003E4E99"/>
    <w:rsid w:val="003F2214"/>
    <w:rsid w:val="004129CB"/>
    <w:rsid w:val="0046379F"/>
    <w:rsid w:val="004A333C"/>
    <w:rsid w:val="004A57DF"/>
    <w:rsid w:val="004C036B"/>
    <w:rsid w:val="004E0BF0"/>
    <w:rsid w:val="00522A1D"/>
    <w:rsid w:val="00551CA3"/>
    <w:rsid w:val="00563FB8"/>
    <w:rsid w:val="00565F9C"/>
    <w:rsid w:val="005765AE"/>
    <w:rsid w:val="0058581F"/>
    <w:rsid w:val="005947C1"/>
    <w:rsid w:val="005C0F83"/>
    <w:rsid w:val="005E29A7"/>
    <w:rsid w:val="005F7A02"/>
    <w:rsid w:val="00651E87"/>
    <w:rsid w:val="00665832"/>
    <w:rsid w:val="00673418"/>
    <w:rsid w:val="00676346"/>
    <w:rsid w:val="006B683B"/>
    <w:rsid w:val="006C46FA"/>
    <w:rsid w:val="006F4056"/>
    <w:rsid w:val="0074188F"/>
    <w:rsid w:val="007775C6"/>
    <w:rsid w:val="007A6943"/>
    <w:rsid w:val="007A760F"/>
    <w:rsid w:val="007C327C"/>
    <w:rsid w:val="007C57F5"/>
    <w:rsid w:val="007D50B5"/>
    <w:rsid w:val="00816C6B"/>
    <w:rsid w:val="00822788"/>
    <w:rsid w:val="0086136F"/>
    <w:rsid w:val="0086447A"/>
    <w:rsid w:val="008773DD"/>
    <w:rsid w:val="0088139C"/>
    <w:rsid w:val="008E14E6"/>
    <w:rsid w:val="00901CBC"/>
    <w:rsid w:val="00910B5B"/>
    <w:rsid w:val="009B1264"/>
    <w:rsid w:val="009E399A"/>
    <w:rsid w:val="00A12E50"/>
    <w:rsid w:val="00A14572"/>
    <w:rsid w:val="00A605BC"/>
    <w:rsid w:val="00A743BB"/>
    <w:rsid w:val="00A9272C"/>
    <w:rsid w:val="00AC4A6E"/>
    <w:rsid w:val="00B10869"/>
    <w:rsid w:val="00B1745A"/>
    <w:rsid w:val="00B47491"/>
    <w:rsid w:val="00BC0CAC"/>
    <w:rsid w:val="00BC3443"/>
    <w:rsid w:val="00C16622"/>
    <w:rsid w:val="00C472DB"/>
    <w:rsid w:val="00C54217"/>
    <w:rsid w:val="00C63BDC"/>
    <w:rsid w:val="00C82B0D"/>
    <w:rsid w:val="00C8465A"/>
    <w:rsid w:val="00C97F08"/>
    <w:rsid w:val="00D23CB8"/>
    <w:rsid w:val="00D30B3D"/>
    <w:rsid w:val="00DC3716"/>
    <w:rsid w:val="00DC77FC"/>
    <w:rsid w:val="00E20576"/>
    <w:rsid w:val="00E22C2C"/>
    <w:rsid w:val="00E24432"/>
    <w:rsid w:val="00E53EC9"/>
    <w:rsid w:val="00E57858"/>
    <w:rsid w:val="00E8713B"/>
    <w:rsid w:val="00E95528"/>
    <w:rsid w:val="00EC1D3F"/>
    <w:rsid w:val="00EE497D"/>
    <w:rsid w:val="00F4554D"/>
    <w:rsid w:val="00FC04D8"/>
    <w:rsid w:val="00FD1930"/>
    <w:rsid w:val="00FF1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1034B"/>
  <w15:chartTrackingRefBased/>
  <w15:docId w15:val="{4FA1B5E5-634E-4341-B8AA-30ACCD70C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0BF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0BF0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4E0BF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Spacing">
    <w:name w:val="No Spacing"/>
    <w:link w:val="NoSpacingChar"/>
    <w:uiPriority w:val="1"/>
    <w:qFormat/>
    <w:rsid w:val="009B126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418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188F"/>
  </w:style>
  <w:style w:type="paragraph" w:styleId="Footer">
    <w:name w:val="footer"/>
    <w:basedOn w:val="Normal"/>
    <w:link w:val="FooterChar"/>
    <w:uiPriority w:val="99"/>
    <w:unhideWhenUsed/>
    <w:rsid w:val="007418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188F"/>
  </w:style>
  <w:style w:type="character" w:customStyle="1" w:styleId="NoSpacingChar">
    <w:name w:val="No Spacing Char"/>
    <w:basedOn w:val="DefaultParagraphFont"/>
    <w:link w:val="NoSpacing"/>
    <w:uiPriority w:val="1"/>
    <w:locked/>
    <w:rsid w:val="007418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25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Fleak</dc:creator>
  <cp:keywords/>
  <dc:description/>
  <cp:lastModifiedBy>Brady Dalrymple</cp:lastModifiedBy>
  <cp:revision>3</cp:revision>
  <dcterms:created xsi:type="dcterms:W3CDTF">2017-08-01T16:59:00Z</dcterms:created>
  <dcterms:modified xsi:type="dcterms:W3CDTF">2019-03-01T21:33:00Z</dcterms:modified>
</cp:coreProperties>
</file>