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14A3F" w14:textId="77777777" w:rsidR="00737886" w:rsidRDefault="00F947AE" w:rsidP="00B352FA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947AE"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Percent of High-Risk Residents With Pressure Ulcers (Long Stay)</w:t>
      </w:r>
    </w:p>
    <w:p w14:paraId="151A23AA" w14:textId="77777777" w:rsidR="00992FB6" w:rsidRPr="00992FB6" w:rsidRDefault="00586572" w:rsidP="00992FB6">
      <w:pPr>
        <w:pStyle w:val="Heading2"/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pPr>
      <w:r w:rsidRPr="00586572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This measure captures the percentage of long</w:t>
      </w:r>
      <w:r w:rsidR="00945302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-</w:t>
      </w:r>
      <w:r w:rsidRPr="00586572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>stay, high-risk residents with Stage II-IV pressure ulcers.</w:t>
      </w:r>
    </w:p>
    <w:p w14:paraId="26D6DCE4" w14:textId="77777777" w:rsidR="004E0BF0" w:rsidRDefault="005C0F83" w:rsidP="004E0BF0">
      <w:pPr>
        <w:pStyle w:val="Heading2"/>
        <w:rPr>
          <w:b/>
          <w:noProof/>
          <w:color w:val="0070C0"/>
        </w:rPr>
      </w:pPr>
      <w:r w:rsidRPr="00E24432">
        <w:rPr>
          <w:b/>
          <w:noProof/>
          <w:color w:val="0070C0"/>
        </w:rPr>
        <w:t>Key Points!</w:t>
      </w:r>
    </w:p>
    <w:p w14:paraId="1BE4F025" w14:textId="77777777" w:rsidR="001175A4" w:rsidRPr="001175A4" w:rsidRDefault="001175A4" w:rsidP="001175A4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The short-stay and long-stay pressure ulcer measures differ, significantly, in how they are triggered.</w:t>
      </w:r>
    </w:p>
    <w:p w14:paraId="38DD82B3" w14:textId="77777777" w:rsidR="00B1745A" w:rsidRPr="008773DD" w:rsidRDefault="00586572" w:rsidP="000224FF">
      <w:pPr>
        <w:pStyle w:val="ListParagraph"/>
        <w:numPr>
          <w:ilvl w:val="0"/>
          <w:numId w:val="3"/>
        </w:numPr>
        <w:rPr>
          <w:noProof/>
        </w:rPr>
      </w:pPr>
      <w:r w:rsidRPr="00586572">
        <w:rPr>
          <w:noProof/>
        </w:rPr>
        <w:t xml:space="preserve">For the Long-Stay measure, only the </w:t>
      </w:r>
      <w:r w:rsidRPr="00B236B8">
        <w:rPr>
          <w:b/>
          <w:i/>
          <w:noProof/>
        </w:rPr>
        <w:t>Target Assessment</w:t>
      </w:r>
      <w:r w:rsidRPr="00586572">
        <w:rPr>
          <w:noProof/>
        </w:rPr>
        <w:t xml:space="preserve"> is used. The Target Assessment is the most recent assessment in the target period (i.e. a calendar quarter).</w:t>
      </w:r>
    </w:p>
    <w:p w14:paraId="24EBDCE7" w14:textId="77777777" w:rsidR="005C0F83" w:rsidRPr="00E24432" w:rsidRDefault="002B2464" w:rsidP="007C57F5">
      <w:pPr>
        <w:rPr>
          <w:noProof/>
          <w:color w:val="0070C0"/>
        </w:rPr>
      </w:pPr>
      <w:r>
        <w:rPr>
          <w:b/>
          <w:noProof/>
          <w:color w:val="0070C0"/>
        </w:rPr>
        <w:t>What MDS Item</w:t>
      </w:r>
      <w:r w:rsidR="00B352FA">
        <w:rPr>
          <w:b/>
          <w:noProof/>
          <w:color w:val="0070C0"/>
        </w:rPr>
        <w:t>s</w:t>
      </w:r>
      <w:r w:rsidR="005C0F83" w:rsidRPr="00E24432">
        <w:rPr>
          <w:b/>
          <w:noProof/>
          <w:color w:val="0070C0"/>
        </w:rPr>
        <w:t xml:space="preserve"> Trigger the </w:t>
      </w:r>
      <w:r w:rsidR="00E019E2" w:rsidRPr="00E019E2">
        <w:rPr>
          <w:b/>
          <w:noProof/>
          <w:color w:val="0070C0"/>
          <w:u w:val="single"/>
        </w:rPr>
        <w:t>Long</w:t>
      </w:r>
      <w:r w:rsidR="00B352FA" w:rsidRPr="00E019E2">
        <w:rPr>
          <w:b/>
          <w:noProof/>
          <w:color w:val="0070C0"/>
          <w:u w:val="single"/>
        </w:rPr>
        <w:t>-</w:t>
      </w:r>
      <w:r w:rsidR="00B352FA">
        <w:rPr>
          <w:b/>
          <w:noProof/>
          <w:color w:val="0070C0"/>
          <w:u w:val="single"/>
        </w:rPr>
        <w:t>Stay</w:t>
      </w:r>
      <w:r w:rsidR="00A14572" w:rsidRPr="00E24432">
        <w:rPr>
          <w:b/>
          <w:noProof/>
          <w:color w:val="0070C0"/>
        </w:rPr>
        <w:t xml:space="preserve"> </w:t>
      </w:r>
      <w:r w:rsidR="00B352FA">
        <w:rPr>
          <w:b/>
          <w:noProof/>
          <w:color w:val="0070C0"/>
        </w:rPr>
        <w:t>Pressure Ulcer</w:t>
      </w:r>
      <w:r w:rsidR="00A14572" w:rsidRPr="00E24432">
        <w:rPr>
          <w:b/>
          <w:noProof/>
          <w:color w:val="0070C0"/>
        </w:rPr>
        <w:t xml:space="preserve"> Measure</w:t>
      </w:r>
      <w:r w:rsidR="005C0F83" w:rsidRPr="00E24432">
        <w:rPr>
          <w:b/>
          <w:noProof/>
          <w:color w:val="0070C0"/>
        </w:rPr>
        <w:t>?</w:t>
      </w:r>
    </w:p>
    <w:p w14:paraId="07865586" w14:textId="77777777" w:rsidR="00BA3795" w:rsidRDefault="00E019E2" w:rsidP="00E019E2">
      <w:pPr>
        <w:pStyle w:val="ListParagraph"/>
        <w:numPr>
          <w:ilvl w:val="0"/>
          <w:numId w:val="14"/>
        </w:numPr>
        <w:rPr>
          <w:noProof/>
        </w:rPr>
      </w:pPr>
      <w:r w:rsidRPr="00E019E2">
        <w:rPr>
          <w:noProof/>
        </w:rPr>
        <w:t xml:space="preserve">Long-stay residents will trigger this QM when their </w:t>
      </w:r>
      <w:r w:rsidRPr="005341BD">
        <w:rPr>
          <w:b/>
          <w:i/>
          <w:noProof/>
        </w:rPr>
        <w:t>target assessment</w:t>
      </w:r>
      <w:r w:rsidRPr="00E019E2">
        <w:rPr>
          <w:noProof/>
        </w:rPr>
        <w:t xml:space="preserve"> </w:t>
      </w:r>
      <w:r w:rsidR="005341BD">
        <w:rPr>
          <w:noProof/>
        </w:rPr>
        <w:t xml:space="preserve">meets </w:t>
      </w:r>
      <w:r w:rsidR="005341BD" w:rsidRPr="003A19D7">
        <w:rPr>
          <w:noProof/>
          <w:u w:val="single"/>
        </w:rPr>
        <w:t>both</w:t>
      </w:r>
      <w:r w:rsidR="005341BD">
        <w:rPr>
          <w:noProof/>
        </w:rPr>
        <w:t xml:space="preserve"> </w:t>
      </w:r>
      <w:r w:rsidR="005341BD" w:rsidRPr="003A19D7">
        <w:rPr>
          <w:b/>
          <w:noProof/>
        </w:rPr>
        <w:t>conditions</w:t>
      </w:r>
      <w:r w:rsidR="00945302">
        <w:rPr>
          <w:b/>
          <w:noProof/>
        </w:rPr>
        <w:t xml:space="preserve"> 1 and 2</w:t>
      </w:r>
      <w:r w:rsidR="005341BD">
        <w:rPr>
          <w:noProof/>
        </w:rPr>
        <w:t>:</w:t>
      </w:r>
    </w:p>
    <w:p w14:paraId="478BB3B8" w14:textId="77777777" w:rsidR="003A19D7" w:rsidRDefault="00E019E2" w:rsidP="003A19D7">
      <w:pPr>
        <w:pStyle w:val="ListParagraph"/>
        <w:numPr>
          <w:ilvl w:val="0"/>
          <w:numId w:val="14"/>
        </w:numPr>
        <w:rPr>
          <w:noProof/>
        </w:rPr>
      </w:pPr>
      <w:r w:rsidRPr="003A19D7">
        <w:rPr>
          <w:b/>
          <w:noProof/>
        </w:rPr>
        <w:t>Condition #1</w:t>
      </w:r>
      <w:r w:rsidRPr="00E019E2">
        <w:rPr>
          <w:noProof/>
        </w:rPr>
        <w:t>: There is a</w:t>
      </w:r>
      <w:r w:rsidR="003A19D7">
        <w:rPr>
          <w:noProof/>
        </w:rPr>
        <w:t xml:space="preserve"> high risk for pressure ulcers where any of the following are true:</w:t>
      </w:r>
    </w:p>
    <w:p w14:paraId="557A82F8" w14:textId="77777777" w:rsidR="003A19D7" w:rsidRDefault="003A19D7" w:rsidP="003A19D7">
      <w:pPr>
        <w:pStyle w:val="ListParagraph"/>
        <w:numPr>
          <w:ilvl w:val="1"/>
          <w:numId w:val="14"/>
        </w:numPr>
        <w:rPr>
          <w:noProof/>
        </w:rPr>
      </w:pPr>
      <w:r w:rsidRPr="003A19D7">
        <w:rPr>
          <w:noProof/>
        </w:rPr>
        <w:t>Bed mobility, self-performanc</w:t>
      </w:r>
      <w:r>
        <w:rPr>
          <w:noProof/>
        </w:rPr>
        <w:t xml:space="preserve">e= Extensive, Dependent, Activity Occurred only once or twice,  Activity did not occurr (G0110A1 = [3, 4, 7, 8]). </w:t>
      </w:r>
    </w:p>
    <w:p w14:paraId="57FF37DD" w14:textId="77777777" w:rsidR="003A19D7" w:rsidRDefault="003A19D7" w:rsidP="003A19D7">
      <w:pPr>
        <w:pStyle w:val="ListParagraph"/>
        <w:numPr>
          <w:ilvl w:val="1"/>
          <w:numId w:val="14"/>
        </w:numPr>
        <w:rPr>
          <w:noProof/>
        </w:rPr>
      </w:pPr>
      <w:r w:rsidRPr="003A19D7">
        <w:rPr>
          <w:noProof/>
        </w:rPr>
        <w:t>Transfer, self-performa</w:t>
      </w:r>
      <w:r>
        <w:rPr>
          <w:noProof/>
        </w:rPr>
        <w:t>nce= Extensive, Dependent, Activity Occurred only once or twice,  Activity did not occurr</w:t>
      </w:r>
      <w:r w:rsidR="00B041F9">
        <w:rPr>
          <w:noProof/>
        </w:rPr>
        <w:t xml:space="preserve"> </w:t>
      </w:r>
      <w:r>
        <w:rPr>
          <w:noProof/>
        </w:rPr>
        <w:t xml:space="preserve">(G0110B1 = [3, 4, 7, 8]). </w:t>
      </w:r>
    </w:p>
    <w:p w14:paraId="750EF5F8" w14:textId="77777777" w:rsidR="003A19D7" w:rsidRDefault="003A19D7" w:rsidP="003A19D7">
      <w:pPr>
        <w:pStyle w:val="ListParagraph"/>
        <w:numPr>
          <w:ilvl w:val="1"/>
          <w:numId w:val="14"/>
        </w:numPr>
        <w:rPr>
          <w:noProof/>
        </w:rPr>
      </w:pPr>
      <w:r w:rsidRPr="003A19D7">
        <w:rPr>
          <w:noProof/>
        </w:rPr>
        <w:t xml:space="preserve">Comatose (B0100 = </w:t>
      </w:r>
      <w:r>
        <w:rPr>
          <w:noProof/>
        </w:rPr>
        <w:t xml:space="preserve">[1]). </w:t>
      </w:r>
    </w:p>
    <w:p w14:paraId="59FF1F62" w14:textId="77777777" w:rsidR="005341BD" w:rsidRDefault="003A19D7" w:rsidP="003A19D7">
      <w:pPr>
        <w:pStyle w:val="ListParagraph"/>
        <w:numPr>
          <w:ilvl w:val="1"/>
          <w:numId w:val="14"/>
        </w:numPr>
        <w:rPr>
          <w:noProof/>
        </w:rPr>
      </w:pPr>
      <w:r w:rsidRPr="003A19D7">
        <w:rPr>
          <w:noProof/>
        </w:rPr>
        <w:t xml:space="preserve">Malnutrition or at risk of malnutrition (I5600 = [1]) (checked). </w:t>
      </w:r>
    </w:p>
    <w:p w14:paraId="2B63C8D8" w14:textId="77777777" w:rsidR="007B2624" w:rsidRDefault="00E019E2" w:rsidP="007B2624">
      <w:pPr>
        <w:pStyle w:val="ListParagraph"/>
        <w:numPr>
          <w:ilvl w:val="0"/>
          <w:numId w:val="14"/>
        </w:numPr>
        <w:rPr>
          <w:noProof/>
        </w:rPr>
      </w:pPr>
      <w:r w:rsidRPr="007B2624">
        <w:rPr>
          <w:b/>
          <w:noProof/>
        </w:rPr>
        <w:t>Condition #2</w:t>
      </w:r>
      <w:r w:rsidR="003A19D7">
        <w:rPr>
          <w:noProof/>
        </w:rPr>
        <w:t xml:space="preserve">: </w:t>
      </w:r>
      <w:r w:rsidR="005525AD">
        <w:rPr>
          <w:noProof/>
        </w:rPr>
        <w:t xml:space="preserve">One or more </w:t>
      </w:r>
      <w:r w:rsidR="003A19D7">
        <w:rPr>
          <w:noProof/>
        </w:rPr>
        <w:t>Stage II-IV</w:t>
      </w:r>
      <w:r w:rsidR="005525AD">
        <w:rPr>
          <w:noProof/>
        </w:rPr>
        <w:t xml:space="preserve"> pressure ulcers are present</w:t>
      </w:r>
      <w:r w:rsidRPr="00E019E2">
        <w:rPr>
          <w:noProof/>
        </w:rPr>
        <w:t xml:space="preserve"> (M0300B1 = [1, 2</w:t>
      </w:r>
      <w:r w:rsidR="003A19D7">
        <w:rPr>
          <w:noProof/>
        </w:rPr>
        <w:t xml:space="preserve">, 3, 4, 5, 6, 7, 8, 9]) or </w:t>
      </w:r>
      <w:r w:rsidRPr="00E019E2">
        <w:rPr>
          <w:noProof/>
        </w:rPr>
        <w:t xml:space="preserve">(M0300C1 = [1, </w:t>
      </w:r>
      <w:r w:rsidR="003A19D7">
        <w:rPr>
          <w:noProof/>
        </w:rPr>
        <w:t xml:space="preserve">2, 3, 4, 5, 6, 7, 8, 9]) or </w:t>
      </w:r>
      <w:r w:rsidRPr="00E019E2">
        <w:rPr>
          <w:noProof/>
        </w:rPr>
        <w:t>(M0300D1</w:t>
      </w:r>
      <w:r w:rsidR="007B2624">
        <w:rPr>
          <w:noProof/>
        </w:rPr>
        <w:t xml:space="preserve"> = [1, 2, 3, 4, 5, 6, 7, 8, 9].</w:t>
      </w:r>
    </w:p>
    <w:p w14:paraId="069E6A44" w14:textId="77777777" w:rsidR="00E70C79" w:rsidRDefault="0057445C" w:rsidP="007B2624">
      <w:pPr>
        <w:rPr>
          <w:b/>
          <w:noProof/>
        </w:rPr>
        <w:sectPr w:rsidR="00E70C79" w:rsidSect="008773DD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7445C">
        <w:rPr>
          <w:b/>
          <w:noProof/>
        </w:rPr>
        <w:t xml:space="preserve">Condition </w:t>
      </w:r>
      <w:r>
        <w:rPr>
          <w:b/>
          <w:noProof/>
        </w:rPr>
        <w:t>#</w:t>
      </w:r>
      <w:r w:rsidR="007F57C8">
        <w:rPr>
          <w:b/>
          <w:noProof/>
        </w:rPr>
        <w:t>1: High Risk</w:t>
      </w:r>
      <w:r w:rsidR="007B2624">
        <w:rPr>
          <w:noProof/>
        </w:rPr>
        <w:drawing>
          <wp:inline distT="0" distB="0" distL="0" distR="0" wp14:anchorId="25E6387E" wp14:editId="0C11F4F8">
            <wp:extent cx="68580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A3D9" w14:textId="77777777" w:rsidR="007C327C" w:rsidRDefault="007F57C8" w:rsidP="007B2624">
      <w:pPr>
        <w:rPr>
          <w:noProof/>
        </w:rPr>
      </w:pPr>
      <w:r>
        <w:rPr>
          <w:b/>
          <w:noProof/>
        </w:rPr>
        <w:lastRenderedPageBreak/>
        <w:t>Condition #2: Stage II-IV</w:t>
      </w:r>
      <w:r w:rsidR="007C327C">
        <w:rPr>
          <w:noProof/>
        </w:rPr>
        <w:t xml:space="preserve">    </w:t>
      </w:r>
      <w:r w:rsidR="00B236B8">
        <w:rPr>
          <w:noProof/>
        </w:rPr>
        <w:drawing>
          <wp:inline distT="0" distB="0" distL="0" distR="0" wp14:anchorId="27EF949A" wp14:editId="2D24AEDD">
            <wp:extent cx="6858000" cy="3095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27C">
        <w:rPr>
          <w:noProof/>
        </w:rPr>
        <w:t xml:space="preserve">               </w:t>
      </w:r>
    </w:p>
    <w:p w14:paraId="55AC7813" w14:textId="77777777" w:rsidR="00AC4A6E" w:rsidRDefault="00137771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Here’s the only e</w:t>
      </w:r>
      <w:r w:rsidR="00880CBE">
        <w:rPr>
          <w:b/>
          <w:noProof/>
          <w:color w:val="0070C0"/>
          <w:sz w:val="26"/>
          <w:szCs w:val="26"/>
        </w:rPr>
        <w:t>xclusion</w:t>
      </w:r>
      <w:r w:rsidR="00C472DB">
        <w:rPr>
          <w:b/>
          <w:noProof/>
          <w:color w:val="0070C0"/>
          <w:sz w:val="26"/>
          <w:szCs w:val="26"/>
        </w:rPr>
        <w:t>!!</w:t>
      </w:r>
    </w:p>
    <w:p w14:paraId="54874C3D" w14:textId="77777777" w:rsidR="00C472DB" w:rsidRDefault="00880CBE" w:rsidP="00880CB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the </w:t>
      </w:r>
      <w:r w:rsidRPr="00880CBE">
        <w:rPr>
          <w:rFonts w:cstheme="minorHAnsi"/>
          <w:b/>
          <w:i/>
        </w:rPr>
        <w:t>target assessment</w:t>
      </w:r>
      <w:r w:rsidRPr="00880CBE">
        <w:rPr>
          <w:rFonts w:cstheme="minorHAnsi"/>
        </w:rPr>
        <w:t xml:space="preserve"> is an </w:t>
      </w:r>
      <w:r>
        <w:rPr>
          <w:rFonts w:cstheme="minorHAnsi"/>
          <w:u w:val="single"/>
        </w:rPr>
        <w:t>A</w:t>
      </w:r>
      <w:r w:rsidRPr="00880CBE">
        <w:rPr>
          <w:rFonts w:cstheme="minorHAnsi"/>
          <w:u w:val="single"/>
        </w:rPr>
        <w:t>dmission</w:t>
      </w:r>
      <w:r w:rsidRPr="00880CBE">
        <w:rPr>
          <w:rFonts w:cstheme="minorHAnsi"/>
        </w:rPr>
        <w:t xml:space="preserve"> assessment (A0310A = [01]) or a </w:t>
      </w:r>
      <w:r w:rsidRPr="00880CBE">
        <w:rPr>
          <w:rFonts w:cstheme="minorHAnsi"/>
          <w:u w:val="single"/>
        </w:rPr>
        <w:t>PPS 5-day</w:t>
      </w:r>
      <w:r w:rsidRPr="00880CBE">
        <w:rPr>
          <w:rFonts w:cstheme="minorHAnsi"/>
        </w:rPr>
        <w:t xml:space="preserve"> </w:t>
      </w:r>
      <w:r>
        <w:rPr>
          <w:rFonts w:cstheme="minorHAnsi"/>
        </w:rPr>
        <w:t>assessment (A0310B = [01</w:t>
      </w:r>
      <w:r w:rsidRPr="00880CBE">
        <w:rPr>
          <w:rFonts w:cstheme="minorHAnsi"/>
        </w:rPr>
        <w:t>])</w:t>
      </w:r>
      <w:r>
        <w:rPr>
          <w:rFonts w:cstheme="minorHAnsi"/>
        </w:rPr>
        <w:t>, it will not trigger</w:t>
      </w:r>
      <w:r w:rsidRPr="00880CBE">
        <w:rPr>
          <w:rFonts w:cstheme="minorHAnsi"/>
        </w:rPr>
        <w:t xml:space="preserve">. </w:t>
      </w:r>
    </w:p>
    <w:p w14:paraId="6584AA1B" w14:textId="77777777" w:rsidR="00DC77FC" w:rsidRPr="00C472DB" w:rsidRDefault="00DC77FC" w:rsidP="00C472DB">
      <w:pPr>
        <w:rPr>
          <w:noProof/>
        </w:rPr>
      </w:pPr>
    </w:p>
    <w:p w14:paraId="2D7EC7DE" w14:textId="77777777" w:rsidR="005765AE" w:rsidRDefault="005765AE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Tips for Success</w:t>
      </w:r>
      <w:r w:rsidRPr="005765AE">
        <w:rPr>
          <w:b/>
          <w:noProof/>
          <w:color w:val="0070C0"/>
          <w:sz w:val="26"/>
          <w:szCs w:val="26"/>
        </w:rPr>
        <w:t>!</w:t>
      </w:r>
    </w:p>
    <w:p w14:paraId="73C6655D" w14:textId="77777777" w:rsidR="00C63BDC" w:rsidRPr="00880CBE" w:rsidRDefault="00880CBE" w:rsidP="006E28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cstheme="minorHAnsi"/>
        </w:rPr>
        <w:t>Because this is a long-stay measure, residents who have Stage II-IV pressure ulcers will not trigger until they have been in the facility for more than 100 days. This means the facility ha</w:t>
      </w:r>
      <w:r w:rsidR="00A65B24">
        <w:rPr>
          <w:rFonts w:cstheme="minorHAnsi"/>
        </w:rPr>
        <w:t>s 100 days from admission to get</w:t>
      </w:r>
      <w:r>
        <w:rPr>
          <w:rFonts w:cstheme="minorHAnsi"/>
        </w:rPr>
        <w:t xml:space="preserve"> pressure ulcers healed.</w:t>
      </w:r>
      <w:r w:rsidR="001A4D51">
        <w:rPr>
          <w:rFonts w:cstheme="minorHAnsi"/>
        </w:rPr>
        <w:t xml:space="preserve"> (</w:t>
      </w:r>
      <w:r w:rsidR="00E049AE">
        <w:rPr>
          <w:rFonts w:cstheme="minorHAnsi"/>
        </w:rPr>
        <w:t>However, keep in mind that</w:t>
      </w:r>
      <w:r w:rsidR="001A4D51">
        <w:rPr>
          <w:rFonts w:cstheme="minorHAnsi"/>
        </w:rPr>
        <w:t xml:space="preserve"> in-house acquired pressure ulcers </w:t>
      </w:r>
      <w:r w:rsidR="001A4D51" w:rsidRPr="001E6CC2">
        <w:rPr>
          <w:rFonts w:cstheme="minorHAnsi"/>
          <w:i/>
        </w:rPr>
        <w:t>will</w:t>
      </w:r>
      <w:r w:rsidR="001E6CC2">
        <w:rPr>
          <w:rFonts w:cstheme="minorHAnsi"/>
        </w:rPr>
        <w:t xml:space="preserve"> trigger the short-</w:t>
      </w:r>
      <w:r w:rsidR="001A4D51">
        <w:rPr>
          <w:rFonts w:cstheme="minorHAnsi"/>
        </w:rPr>
        <w:t>stay measure for residents who have been in the facility less than 100 days).</w:t>
      </w:r>
    </w:p>
    <w:p w14:paraId="1D2B9933" w14:textId="77777777" w:rsidR="00880CBE" w:rsidRPr="00880CBE" w:rsidRDefault="00880CBE" w:rsidP="006E28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cstheme="minorHAnsi"/>
        </w:rPr>
        <w:t>Unstageable pressure ulcers do NOT trigger this measure.</w:t>
      </w:r>
    </w:p>
    <w:p w14:paraId="2CA0E91C" w14:textId="77777777" w:rsidR="00EB3F2E" w:rsidRDefault="0088365A" w:rsidP="005525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The larger your denomina</w:t>
      </w:r>
      <w:r w:rsidR="005B4480">
        <w:rPr>
          <w:noProof/>
        </w:rPr>
        <w:t>tor</w:t>
      </w:r>
      <w:r w:rsidR="008E0AD8">
        <w:rPr>
          <w:noProof/>
        </w:rPr>
        <w:t xml:space="preserve"> is</w:t>
      </w:r>
      <w:r w:rsidR="005B4480">
        <w:rPr>
          <w:noProof/>
        </w:rPr>
        <w:t>, the lower your percentage</w:t>
      </w:r>
      <w:r w:rsidR="008E0AD8">
        <w:rPr>
          <w:noProof/>
        </w:rPr>
        <w:t xml:space="preserve"> will be</w:t>
      </w:r>
      <w:r w:rsidR="005B4480">
        <w:rPr>
          <w:noProof/>
        </w:rPr>
        <w:t xml:space="preserve">. </w:t>
      </w:r>
    </w:p>
    <w:p w14:paraId="341B97C3" w14:textId="77777777" w:rsidR="00880CBE" w:rsidRPr="002C4CC7" w:rsidRDefault="005525AD" w:rsidP="005525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O</w:t>
      </w:r>
      <w:r w:rsidRPr="005525AD">
        <w:rPr>
          <w:noProof/>
        </w:rPr>
        <w:t>nly residents who are high risk</w:t>
      </w:r>
      <w:r>
        <w:rPr>
          <w:noProof/>
        </w:rPr>
        <w:t xml:space="preserve"> (n</w:t>
      </w:r>
      <w:r w:rsidR="005B4480">
        <w:rPr>
          <w:noProof/>
        </w:rPr>
        <w:t>ot all residents</w:t>
      </w:r>
      <w:r>
        <w:rPr>
          <w:noProof/>
        </w:rPr>
        <w:t>)</w:t>
      </w:r>
      <w:r w:rsidR="005B4480">
        <w:rPr>
          <w:noProof/>
        </w:rPr>
        <w:t xml:space="preserve"> are included in the denomin</w:t>
      </w:r>
      <w:r>
        <w:rPr>
          <w:noProof/>
        </w:rPr>
        <w:t>ator</w:t>
      </w:r>
      <w:r w:rsidR="005B4480">
        <w:rPr>
          <w:noProof/>
        </w:rPr>
        <w:t xml:space="preserve">. </w:t>
      </w:r>
      <w:r w:rsidR="00011826">
        <w:rPr>
          <w:noProof/>
        </w:rPr>
        <w:t>Therefore, a</w:t>
      </w:r>
      <w:r w:rsidR="005C5C7A">
        <w:rPr>
          <w:noProof/>
        </w:rPr>
        <w:t>lways e</w:t>
      </w:r>
      <w:r w:rsidR="005B4480">
        <w:rPr>
          <w:noProof/>
        </w:rPr>
        <w:t xml:space="preserve">nsure MDS coding is accurate to reflect comatose, </w:t>
      </w:r>
      <w:r w:rsidR="005C5C7A">
        <w:rPr>
          <w:noProof/>
        </w:rPr>
        <w:t>extensive</w:t>
      </w:r>
      <w:r>
        <w:rPr>
          <w:noProof/>
        </w:rPr>
        <w:t xml:space="preserve"> assist</w:t>
      </w:r>
      <w:r w:rsidR="005C5C7A">
        <w:rPr>
          <w:noProof/>
        </w:rPr>
        <w:t xml:space="preserve"> or more</w:t>
      </w:r>
      <w:r w:rsidR="005B4480">
        <w:rPr>
          <w:noProof/>
        </w:rPr>
        <w:t xml:space="preserve"> with bed mobility and transfers, and malnutrition</w:t>
      </w:r>
      <w:r w:rsidR="008E0AD8">
        <w:rPr>
          <w:noProof/>
        </w:rPr>
        <w:t xml:space="preserve"> on all assessments</w:t>
      </w:r>
      <w:r w:rsidR="008A5CBD">
        <w:rPr>
          <w:noProof/>
        </w:rPr>
        <w:t>,</w:t>
      </w:r>
      <w:r w:rsidR="005C5C7A">
        <w:rPr>
          <w:noProof/>
        </w:rPr>
        <w:t xml:space="preserve"> as applicable</w:t>
      </w:r>
      <w:r w:rsidR="008E0AD8">
        <w:rPr>
          <w:noProof/>
        </w:rPr>
        <w:t>.</w:t>
      </w:r>
    </w:p>
    <w:p w14:paraId="2199DD59" w14:textId="77777777" w:rsidR="00E70492" w:rsidRPr="00E70492" w:rsidRDefault="00E70492" w:rsidP="00E704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72ED">
        <w:rPr>
          <w:rFonts w:cstheme="minorHAnsi"/>
        </w:rPr>
        <w:t>If a pressure ulcer is surgically closed with a flap or graft, it should be coded as a surgical wound and not as a pressure ulcer.</w:t>
      </w:r>
    </w:p>
    <w:p w14:paraId="26CD5A14" w14:textId="77777777" w:rsidR="00F172ED" w:rsidRDefault="00F172ED" w:rsidP="00F172E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172ED">
        <w:rPr>
          <w:rFonts w:cstheme="minorHAnsi"/>
        </w:rPr>
        <w:t>If a resident had a pressure ulcer that healed during the look-back period of the current assessment, but there was no documented pressure ulcer on the prior assessment,</w:t>
      </w:r>
      <w:r>
        <w:rPr>
          <w:rFonts w:cstheme="minorHAnsi"/>
        </w:rPr>
        <w:t xml:space="preserve"> M0210 (Does the resident have one or more unhealed pressure ulcers at Stage 1 or higher?) should be</w:t>
      </w:r>
      <w:r w:rsidRPr="00F172ED">
        <w:rPr>
          <w:rFonts w:cstheme="minorHAnsi"/>
        </w:rPr>
        <w:t xml:space="preserve"> code</w:t>
      </w:r>
      <w:r>
        <w:rPr>
          <w:rFonts w:cstheme="minorHAnsi"/>
        </w:rPr>
        <w:t>d No</w:t>
      </w:r>
      <w:r w:rsidRPr="00F172ED">
        <w:rPr>
          <w:rFonts w:cstheme="minorHAnsi"/>
        </w:rPr>
        <w:t xml:space="preserve"> </w:t>
      </w:r>
      <w:r>
        <w:rPr>
          <w:rFonts w:cstheme="minorHAnsi"/>
        </w:rPr>
        <w:t>[</w:t>
      </w:r>
      <w:r w:rsidRPr="00F172ED">
        <w:rPr>
          <w:rFonts w:cstheme="minorHAnsi"/>
        </w:rPr>
        <w:t>0</w:t>
      </w:r>
      <w:r>
        <w:rPr>
          <w:rFonts w:cstheme="minorHAnsi"/>
        </w:rPr>
        <w:t>].</w:t>
      </w:r>
    </w:p>
    <w:p w14:paraId="2F057454" w14:textId="77777777" w:rsidR="005525AD" w:rsidRPr="00D05F54" w:rsidRDefault="005525AD" w:rsidP="00F172E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Only the </w:t>
      </w:r>
      <w:r w:rsidRPr="005525AD">
        <w:rPr>
          <w:rFonts w:cstheme="minorHAnsi"/>
          <w:b/>
          <w:i/>
        </w:rPr>
        <w:t>target assessment</w:t>
      </w:r>
      <w:r>
        <w:rPr>
          <w:rFonts w:cstheme="minorHAnsi"/>
        </w:rPr>
        <w:t xml:space="preserve"> is </w:t>
      </w:r>
      <w:r w:rsidR="00EB3F2E">
        <w:rPr>
          <w:rFonts w:cstheme="minorHAnsi"/>
        </w:rPr>
        <w:t>used. If a pressure ulcer heals</w:t>
      </w:r>
      <w:r>
        <w:rPr>
          <w:rFonts w:cstheme="minorHAnsi"/>
        </w:rPr>
        <w:t xml:space="preserve"> </w:t>
      </w:r>
      <w:r w:rsidR="00EB3F2E">
        <w:rPr>
          <w:rFonts w:cstheme="minorHAnsi"/>
        </w:rPr>
        <w:t xml:space="preserve">and another MDS is completed, then this new target assessment would be coded as no </w:t>
      </w:r>
      <w:r>
        <w:rPr>
          <w:rFonts w:cstheme="minorHAnsi"/>
        </w:rPr>
        <w:t>current Stage II-IV areas.</w:t>
      </w:r>
    </w:p>
    <w:p w14:paraId="7F4C83CB" w14:textId="77777777" w:rsidR="00565F9C" w:rsidRPr="00565F9C" w:rsidRDefault="00565F9C" w:rsidP="00565F9C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bookmarkStart w:id="1" w:name="_GoBack"/>
      <w:bookmarkEnd w:id="1"/>
    </w:p>
    <w:sectPr w:rsidR="00565F9C" w:rsidRPr="00565F9C" w:rsidSect="008773D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C1AB8" w14:textId="77777777" w:rsidR="00433CD1" w:rsidRDefault="00433CD1" w:rsidP="00E70C79">
      <w:pPr>
        <w:spacing w:after="0" w:line="240" w:lineRule="auto"/>
      </w:pPr>
      <w:r>
        <w:separator/>
      </w:r>
    </w:p>
  </w:endnote>
  <w:endnote w:type="continuationSeparator" w:id="0">
    <w:p w14:paraId="53BD0A47" w14:textId="77777777" w:rsidR="00433CD1" w:rsidRDefault="00433CD1" w:rsidP="00E7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086D" w14:textId="77777777" w:rsidR="00433CD1" w:rsidRDefault="00433CD1" w:rsidP="00E70C79">
      <w:pPr>
        <w:spacing w:after="0" w:line="240" w:lineRule="auto"/>
      </w:pPr>
      <w:r>
        <w:separator/>
      </w:r>
    </w:p>
  </w:footnote>
  <w:footnote w:type="continuationSeparator" w:id="0">
    <w:p w14:paraId="12DD2101" w14:textId="77777777" w:rsidR="00433CD1" w:rsidRDefault="00433CD1" w:rsidP="00E7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7E727" w14:textId="77777777" w:rsidR="00E70C79" w:rsidRDefault="00E70C79" w:rsidP="00E70C79">
    <w:pPr>
      <w:pStyle w:val="NoSpacing"/>
      <w:rPr>
        <w:b/>
        <w:color w:val="0070C0"/>
        <w:sz w:val="24"/>
        <w:szCs w:val="24"/>
      </w:rPr>
    </w:pPr>
    <w:bookmarkStart w:id="0" w:name="_Hlk2349987"/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8ED4B" wp14:editId="7E341B7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E91AB" w14:textId="77777777" w:rsidR="00E70C79" w:rsidRPr="00FF0909" w:rsidRDefault="00E70C79" w:rsidP="00E70C79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51D74E39" w14:textId="77777777" w:rsidR="00E70C79" w:rsidRPr="00FF0909" w:rsidRDefault="00E70C79" w:rsidP="00E70C79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4BE0B946" w14:textId="77777777" w:rsidR="00E70C79" w:rsidRPr="00FF0909" w:rsidRDefault="00E70C79" w:rsidP="00E70C79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073080BC" w14:textId="77777777" w:rsidR="00E70C79" w:rsidRDefault="00E70C79" w:rsidP="00E70C79">
                          <w:pPr>
                            <w:spacing w:after="0"/>
                          </w:pPr>
                        </w:p>
                        <w:p w14:paraId="6AC758A7" w14:textId="77777777" w:rsidR="00E70C79" w:rsidRDefault="00E70C79" w:rsidP="00E70C79">
                          <w:pPr>
                            <w:spacing w:after="0"/>
                          </w:pPr>
                        </w:p>
                        <w:p w14:paraId="7CA0ECE2" w14:textId="77777777" w:rsidR="00E70C79" w:rsidRDefault="00E70C79" w:rsidP="00E70C7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8ED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696E91AB" w14:textId="77777777" w:rsidR="00E70C79" w:rsidRPr="00FF0909" w:rsidRDefault="00E70C79" w:rsidP="00E70C79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51D74E39" w14:textId="77777777" w:rsidR="00E70C79" w:rsidRPr="00FF0909" w:rsidRDefault="00E70C79" w:rsidP="00E70C79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4BE0B946" w14:textId="77777777" w:rsidR="00E70C79" w:rsidRPr="00FF0909" w:rsidRDefault="00E70C79" w:rsidP="00E70C79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073080BC" w14:textId="77777777" w:rsidR="00E70C79" w:rsidRDefault="00E70C79" w:rsidP="00E70C79">
                    <w:pPr>
                      <w:spacing w:after="0"/>
                    </w:pPr>
                  </w:p>
                  <w:p w14:paraId="6AC758A7" w14:textId="77777777" w:rsidR="00E70C79" w:rsidRDefault="00E70C79" w:rsidP="00E70C79">
                    <w:pPr>
                      <w:spacing w:after="0"/>
                    </w:pPr>
                  </w:p>
                  <w:p w14:paraId="7CA0ECE2" w14:textId="77777777" w:rsidR="00E70C79" w:rsidRDefault="00E70C79" w:rsidP="00E70C79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00F113B" wp14:editId="4D14CC4A">
          <wp:extent cx="790575" cy="88682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68FB870D" w14:textId="77777777" w:rsidR="00E70C79" w:rsidRPr="00B232E5" w:rsidRDefault="00E70C79" w:rsidP="00E70C79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  <w:color w:val="000000"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0"/>
  <w:p w14:paraId="24A02CCD" w14:textId="77777777" w:rsidR="00E70C79" w:rsidRDefault="00E70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4DB5" w14:textId="77777777" w:rsidR="00E70C79" w:rsidRDefault="00E70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622"/>
    <w:multiLevelType w:val="hybridMultilevel"/>
    <w:tmpl w:val="903A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B17"/>
    <w:multiLevelType w:val="hybridMultilevel"/>
    <w:tmpl w:val="2DC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6D87"/>
    <w:multiLevelType w:val="hybridMultilevel"/>
    <w:tmpl w:val="D92A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41D2"/>
    <w:multiLevelType w:val="hybridMultilevel"/>
    <w:tmpl w:val="8D7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895"/>
    <w:multiLevelType w:val="hybridMultilevel"/>
    <w:tmpl w:val="C9323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803D9"/>
    <w:multiLevelType w:val="hybridMultilevel"/>
    <w:tmpl w:val="74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41681"/>
    <w:multiLevelType w:val="hybridMultilevel"/>
    <w:tmpl w:val="F6A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B5CF3"/>
    <w:multiLevelType w:val="hybridMultilevel"/>
    <w:tmpl w:val="35821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B17A8"/>
    <w:multiLevelType w:val="hybridMultilevel"/>
    <w:tmpl w:val="9BF8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305F8"/>
    <w:multiLevelType w:val="hybridMultilevel"/>
    <w:tmpl w:val="4F5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81C5B"/>
    <w:multiLevelType w:val="hybridMultilevel"/>
    <w:tmpl w:val="DA24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1A6D"/>
    <w:multiLevelType w:val="hybridMultilevel"/>
    <w:tmpl w:val="0D6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77FC9"/>
    <w:multiLevelType w:val="hybridMultilevel"/>
    <w:tmpl w:val="169EF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44A3C"/>
    <w:multiLevelType w:val="hybridMultilevel"/>
    <w:tmpl w:val="57A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8"/>
    <w:rsid w:val="00011826"/>
    <w:rsid w:val="00037F55"/>
    <w:rsid w:val="00042F34"/>
    <w:rsid w:val="000551D9"/>
    <w:rsid w:val="00076553"/>
    <w:rsid w:val="00093289"/>
    <w:rsid w:val="00096DBA"/>
    <w:rsid w:val="000E4964"/>
    <w:rsid w:val="001175A4"/>
    <w:rsid w:val="001330FC"/>
    <w:rsid w:val="00137771"/>
    <w:rsid w:val="00142A53"/>
    <w:rsid w:val="00142A7E"/>
    <w:rsid w:val="001751E0"/>
    <w:rsid w:val="00180FA2"/>
    <w:rsid w:val="001A4D51"/>
    <w:rsid w:val="001D5FAB"/>
    <w:rsid w:val="001D7C84"/>
    <w:rsid w:val="001E65C7"/>
    <w:rsid w:val="001E6CC2"/>
    <w:rsid w:val="002220C6"/>
    <w:rsid w:val="0024545E"/>
    <w:rsid w:val="0025105D"/>
    <w:rsid w:val="002666EF"/>
    <w:rsid w:val="0029235F"/>
    <w:rsid w:val="00297AF3"/>
    <w:rsid w:val="002B2464"/>
    <w:rsid w:val="002C4CC7"/>
    <w:rsid w:val="003359D8"/>
    <w:rsid w:val="0035788A"/>
    <w:rsid w:val="00361536"/>
    <w:rsid w:val="0036599E"/>
    <w:rsid w:val="00371CE0"/>
    <w:rsid w:val="0037360C"/>
    <w:rsid w:val="00375600"/>
    <w:rsid w:val="00397D60"/>
    <w:rsid w:val="003A19D7"/>
    <w:rsid w:val="003E1088"/>
    <w:rsid w:val="003E4E99"/>
    <w:rsid w:val="003F2214"/>
    <w:rsid w:val="003F3C95"/>
    <w:rsid w:val="004129CB"/>
    <w:rsid w:val="00433CD1"/>
    <w:rsid w:val="00453AAD"/>
    <w:rsid w:val="0046379F"/>
    <w:rsid w:val="00482AC9"/>
    <w:rsid w:val="004A333C"/>
    <w:rsid w:val="004A57DF"/>
    <w:rsid w:val="004C036B"/>
    <w:rsid w:val="004E0BF0"/>
    <w:rsid w:val="00522A1D"/>
    <w:rsid w:val="005341BD"/>
    <w:rsid w:val="00551CA3"/>
    <w:rsid w:val="005525AD"/>
    <w:rsid w:val="00563FB8"/>
    <w:rsid w:val="00565F9C"/>
    <w:rsid w:val="0057445C"/>
    <w:rsid w:val="00574740"/>
    <w:rsid w:val="005765AE"/>
    <w:rsid w:val="0058581F"/>
    <w:rsid w:val="00586572"/>
    <w:rsid w:val="005947C1"/>
    <w:rsid w:val="005B4480"/>
    <w:rsid w:val="005C0F83"/>
    <w:rsid w:val="005C5C7A"/>
    <w:rsid w:val="005E29A7"/>
    <w:rsid w:val="005E7DC2"/>
    <w:rsid w:val="005F7A02"/>
    <w:rsid w:val="00631CE5"/>
    <w:rsid w:val="00651E87"/>
    <w:rsid w:val="00657139"/>
    <w:rsid w:val="00665832"/>
    <w:rsid w:val="00673418"/>
    <w:rsid w:val="006752F0"/>
    <w:rsid w:val="00676346"/>
    <w:rsid w:val="006A0E32"/>
    <w:rsid w:val="006B683B"/>
    <w:rsid w:val="006C013E"/>
    <w:rsid w:val="006C46FA"/>
    <w:rsid w:val="006F4056"/>
    <w:rsid w:val="00737886"/>
    <w:rsid w:val="00746D0C"/>
    <w:rsid w:val="007537DA"/>
    <w:rsid w:val="007775C6"/>
    <w:rsid w:val="007A6943"/>
    <w:rsid w:val="007A760F"/>
    <w:rsid w:val="007B2624"/>
    <w:rsid w:val="007C1D1F"/>
    <w:rsid w:val="007C327C"/>
    <w:rsid w:val="007C57F5"/>
    <w:rsid w:val="007D50B5"/>
    <w:rsid w:val="007D6AD9"/>
    <w:rsid w:val="007F57C8"/>
    <w:rsid w:val="00816C6B"/>
    <w:rsid w:val="00822788"/>
    <w:rsid w:val="00855BB8"/>
    <w:rsid w:val="0086447A"/>
    <w:rsid w:val="008773DD"/>
    <w:rsid w:val="00880CBE"/>
    <w:rsid w:val="0088139C"/>
    <w:rsid w:val="008825AF"/>
    <w:rsid w:val="0088365A"/>
    <w:rsid w:val="008A5CBD"/>
    <w:rsid w:val="008B4B5A"/>
    <w:rsid w:val="008E0AD8"/>
    <w:rsid w:val="008E14E6"/>
    <w:rsid w:val="00901CBC"/>
    <w:rsid w:val="00910B5B"/>
    <w:rsid w:val="00910C82"/>
    <w:rsid w:val="009268A9"/>
    <w:rsid w:val="00945302"/>
    <w:rsid w:val="00961311"/>
    <w:rsid w:val="00971A41"/>
    <w:rsid w:val="0097794F"/>
    <w:rsid w:val="00992FB6"/>
    <w:rsid w:val="009B1264"/>
    <w:rsid w:val="009E399A"/>
    <w:rsid w:val="00A12E50"/>
    <w:rsid w:val="00A14572"/>
    <w:rsid w:val="00A214E8"/>
    <w:rsid w:val="00A35327"/>
    <w:rsid w:val="00A605BC"/>
    <w:rsid w:val="00A65B24"/>
    <w:rsid w:val="00A743BB"/>
    <w:rsid w:val="00A7443C"/>
    <w:rsid w:val="00A9272C"/>
    <w:rsid w:val="00A94E38"/>
    <w:rsid w:val="00AC4A6E"/>
    <w:rsid w:val="00B041F9"/>
    <w:rsid w:val="00B10869"/>
    <w:rsid w:val="00B1745A"/>
    <w:rsid w:val="00B236B8"/>
    <w:rsid w:val="00B352FA"/>
    <w:rsid w:val="00B47491"/>
    <w:rsid w:val="00BA3795"/>
    <w:rsid w:val="00BC0CAC"/>
    <w:rsid w:val="00BC3443"/>
    <w:rsid w:val="00C16622"/>
    <w:rsid w:val="00C4646D"/>
    <w:rsid w:val="00C472DB"/>
    <w:rsid w:val="00C54217"/>
    <w:rsid w:val="00C63BDC"/>
    <w:rsid w:val="00C82B0D"/>
    <w:rsid w:val="00C8465A"/>
    <w:rsid w:val="00C91337"/>
    <w:rsid w:val="00C97F08"/>
    <w:rsid w:val="00CC3809"/>
    <w:rsid w:val="00CE1E48"/>
    <w:rsid w:val="00CF278F"/>
    <w:rsid w:val="00D05F54"/>
    <w:rsid w:val="00D23CB8"/>
    <w:rsid w:val="00D30B3D"/>
    <w:rsid w:val="00DC2B83"/>
    <w:rsid w:val="00DC3716"/>
    <w:rsid w:val="00DC64D4"/>
    <w:rsid w:val="00DC77FC"/>
    <w:rsid w:val="00DE7B7B"/>
    <w:rsid w:val="00E019E2"/>
    <w:rsid w:val="00E049AE"/>
    <w:rsid w:val="00E22C2C"/>
    <w:rsid w:val="00E24432"/>
    <w:rsid w:val="00E5197A"/>
    <w:rsid w:val="00E53EC9"/>
    <w:rsid w:val="00E57858"/>
    <w:rsid w:val="00E70492"/>
    <w:rsid w:val="00E70C79"/>
    <w:rsid w:val="00E8713B"/>
    <w:rsid w:val="00E95528"/>
    <w:rsid w:val="00EA1C5C"/>
    <w:rsid w:val="00EB3F2E"/>
    <w:rsid w:val="00EC1D3F"/>
    <w:rsid w:val="00EE497D"/>
    <w:rsid w:val="00F172ED"/>
    <w:rsid w:val="00F4554D"/>
    <w:rsid w:val="00F947AE"/>
    <w:rsid w:val="00FC04D8"/>
    <w:rsid w:val="00FD1930"/>
    <w:rsid w:val="00FD251A"/>
    <w:rsid w:val="00FD5395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66F5"/>
  <w15:chartTrackingRefBased/>
  <w15:docId w15:val="{4FA1B5E5-634E-4341-B8AA-30ACCD7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0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B12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0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79"/>
  </w:style>
  <w:style w:type="paragraph" w:styleId="Footer">
    <w:name w:val="footer"/>
    <w:basedOn w:val="Normal"/>
    <w:link w:val="FooterChar"/>
    <w:uiPriority w:val="99"/>
    <w:unhideWhenUsed/>
    <w:rsid w:val="00E70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79"/>
  </w:style>
  <w:style w:type="character" w:customStyle="1" w:styleId="NoSpacingChar">
    <w:name w:val="No Spacing Char"/>
    <w:basedOn w:val="DefaultParagraphFont"/>
    <w:link w:val="NoSpacing"/>
    <w:uiPriority w:val="1"/>
    <w:locked/>
    <w:rsid w:val="00E7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Fleak</dc:creator>
  <cp:keywords/>
  <dc:description/>
  <cp:lastModifiedBy>Brady Dalrymple</cp:lastModifiedBy>
  <cp:revision>4</cp:revision>
  <dcterms:created xsi:type="dcterms:W3CDTF">2017-08-15T09:25:00Z</dcterms:created>
  <dcterms:modified xsi:type="dcterms:W3CDTF">2019-03-01T21:35:00Z</dcterms:modified>
</cp:coreProperties>
</file>